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634500B" w14:textId="75013771" w:rsidR="00B256F3" w:rsidRPr="00700AF3" w:rsidRDefault="00D50E79" w:rsidP="004B0838">
      <w:pPr>
        <w:pStyle w:val="Heading1"/>
        <w:jc w:val="both"/>
        <w:rPr>
          <w:b/>
        </w:rPr>
      </w:pPr>
      <w:r w:rsidRPr="002A1733">
        <w:rPr>
          <w:b/>
          <w:noProof/>
          <w:color w:val="391B76"/>
          <w:lang w:eastAsia="en-AU"/>
        </w:rPr>
        <mc:AlternateContent>
          <mc:Choice Requires="wps">
            <w:drawing>
              <wp:anchor distT="45720" distB="45720" distL="114300" distR="114300" simplePos="0" relativeHeight="251659264" behindDoc="0" locked="0" layoutInCell="1" allowOverlap="1" wp14:anchorId="063450A8" wp14:editId="66E535C4">
                <wp:simplePos x="0" y="0"/>
                <wp:positionH relativeFrom="column">
                  <wp:posOffset>1851069</wp:posOffset>
                </wp:positionH>
                <wp:positionV relativeFrom="paragraph">
                  <wp:posOffset>-2443480</wp:posOffset>
                </wp:positionV>
                <wp:extent cx="4067175" cy="533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33400"/>
                        </a:xfrm>
                        <a:prstGeom prst="rect">
                          <a:avLst/>
                        </a:prstGeom>
                        <a:noFill/>
                        <a:ln w="9525">
                          <a:noFill/>
                          <a:miter lim="800000"/>
                          <a:headEnd/>
                          <a:tailEnd/>
                        </a:ln>
                      </wps:spPr>
                      <wps:txbx>
                        <w:txbxContent>
                          <w:p w14:paraId="063450BB" w14:textId="5C9BC22E" w:rsidR="00B256F3" w:rsidRDefault="00FB4B91" w:rsidP="00E820D9">
                            <w:pPr>
                              <w:pStyle w:val="Heading3"/>
                            </w:pPr>
                            <w:r>
                              <w:t>Child Safeguarding:</w:t>
                            </w:r>
                          </w:p>
                          <w:p w14:paraId="4EC941EA" w14:textId="2BE02DDB" w:rsidR="00E820D9" w:rsidRPr="00E820D9" w:rsidRDefault="00E820D9" w:rsidP="002350CA">
                            <w:pPr>
                              <w:spacing w:after="0" w:line="240" w:lineRule="auto"/>
                              <w:jc w:val="right"/>
                              <w:rPr>
                                <w:b/>
                                <w:color w:val="FFFFFF" w:themeColor="background1"/>
                                <w:sz w:val="28"/>
                                <w:szCs w:val="28"/>
                                <w:lang w:val="en-US"/>
                              </w:rPr>
                            </w:pPr>
                            <w:r>
                              <w:rPr>
                                <w:b/>
                                <w:color w:val="FFFFFF" w:themeColor="background1"/>
                                <w:sz w:val="28"/>
                                <w:szCs w:val="28"/>
                                <w:lang w:val="en-US"/>
                              </w:rPr>
                              <w:t xml:space="preserve">Reporting Obligations </w:t>
                            </w:r>
                            <w:r w:rsidR="001F416B">
                              <w:rPr>
                                <w:b/>
                                <w:color w:val="FFFFFF" w:themeColor="background1"/>
                                <w:sz w:val="28"/>
                                <w:szCs w:val="28"/>
                                <w:lang w:val="en-US"/>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3450A8" id="_x0000_t202" coordsize="21600,21600" o:spt="202" path="m,l,21600r21600,l21600,xe">
                <v:stroke joinstyle="miter"/>
                <v:path gradientshapeok="t" o:connecttype="rect"/>
              </v:shapetype>
              <v:shape id="Text Box 2" o:spid="_x0000_s1026" type="#_x0000_t202" style="position:absolute;left:0;text-align:left;margin-left:145.75pt;margin-top:-192.4pt;width:320.2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" filled="f" stroked="f">
                <v:textbox>
                  <w:txbxContent>
                    <w:p w14:paraId="063450BB" w14:textId="5C9BC22E" w:rsidR="00B256F3" w:rsidRDefault="00FB4B91" w:rsidP="00E820D9">
                      <w:pPr>
                        <w:pStyle w:val="Heading3"/>
                      </w:pPr>
                      <w:r>
                        <w:t>Child Safeguarding:</w:t>
                      </w:r>
                    </w:p>
                    <w:p w14:paraId="4EC941EA" w14:textId="2BE02DDB" w:rsidR="00E820D9" w:rsidRPr="00E820D9" w:rsidRDefault="00E820D9" w:rsidP="002350CA">
                      <w:pPr>
                        <w:spacing w:after="0" w:line="240" w:lineRule="auto"/>
                        <w:jc w:val="right"/>
                        <w:rPr>
                          <w:b/>
                          <w:color w:val="FFFFFF" w:themeColor="background1"/>
                          <w:sz w:val="28"/>
                          <w:szCs w:val="28"/>
                          <w:lang w:val="en-US"/>
                        </w:rPr>
                      </w:pPr>
                      <w:r>
                        <w:rPr>
                          <w:b/>
                          <w:color w:val="FFFFFF" w:themeColor="background1"/>
                          <w:sz w:val="28"/>
                          <w:szCs w:val="28"/>
                          <w:lang w:val="en-US"/>
                        </w:rPr>
                        <w:t xml:space="preserve">Reporting Obligations </w:t>
                      </w:r>
                      <w:r w:rsidR="001F416B">
                        <w:rPr>
                          <w:b/>
                          <w:color w:val="FFFFFF" w:themeColor="background1"/>
                          <w:sz w:val="28"/>
                          <w:szCs w:val="28"/>
                          <w:lang w:val="en-US"/>
                        </w:rPr>
                        <w:t>Policy</w:t>
                      </w:r>
                    </w:p>
                  </w:txbxContent>
                </v:textbox>
              </v:shape>
            </w:pict>
          </mc:Fallback>
        </mc:AlternateContent>
      </w:r>
      <w:r w:rsidRPr="002A1733">
        <w:rPr>
          <w:b/>
          <w:noProof/>
          <w:color w:val="391B76"/>
          <w:lang w:eastAsia="en-AU"/>
        </w:rPr>
        <mc:AlternateContent>
          <mc:Choice Requires="wps">
            <w:drawing>
              <wp:anchor distT="45720" distB="45720" distL="114300" distR="114300" simplePos="0" relativeHeight="251662336" behindDoc="0" locked="0" layoutInCell="1" allowOverlap="1" wp14:anchorId="0924F5D7" wp14:editId="5BE4F396">
                <wp:simplePos x="0" y="0"/>
                <wp:positionH relativeFrom="column">
                  <wp:posOffset>990600</wp:posOffset>
                </wp:positionH>
                <wp:positionV relativeFrom="paragraph">
                  <wp:posOffset>-2813685</wp:posOffset>
                </wp:positionV>
                <wp:extent cx="4933950" cy="295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95275"/>
                        </a:xfrm>
                        <a:prstGeom prst="rect">
                          <a:avLst/>
                        </a:prstGeom>
                        <a:noFill/>
                        <a:ln w="9525">
                          <a:noFill/>
                          <a:miter lim="800000"/>
                          <a:headEnd/>
                          <a:tailEnd/>
                        </a:ln>
                      </wps:spPr>
                      <wps:txbx>
                        <w:txbxContent>
                          <w:p w14:paraId="54F3CC7C" w14:textId="61E2CC3E" w:rsidR="00D50E79" w:rsidRPr="007B71D4" w:rsidRDefault="00D50E79" w:rsidP="007B71D4">
                            <w:pPr>
                              <w:pStyle w:val="Heading2"/>
                            </w:pPr>
                            <w:r w:rsidRPr="007B71D4">
                              <w:t>DIOCESE OF BALLARAT CATHOLIC EDUCATION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24F5D7" id="_x0000_s1027" type="#_x0000_t202" style="position:absolute;left:0;text-align:left;margin-left:78pt;margin-top:-221.55pt;width:388.5pt;height:2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" filled="f" stroked="f">
                <v:textbox>
                  <w:txbxContent>
                    <w:p w14:paraId="54F3CC7C" w14:textId="61E2CC3E" w:rsidR="00D50E79" w:rsidRPr="007B71D4" w:rsidRDefault="00D50E79" w:rsidP="007B71D4">
                      <w:pPr>
                        <w:pStyle w:val="Heading2"/>
                      </w:pPr>
                      <w:r w:rsidRPr="007B71D4">
                        <w:t>DIOCESE OF BALLARAT CATHOLIC EDUCATION LIMITED</w:t>
                      </w:r>
                    </w:p>
                  </w:txbxContent>
                </v:textbox>
              </v:shape>
            </w:pict>
          </mc:Fallback>
        </mc:AlternateContent>
      </w:r>
      <w:r w:rsidR="001F0A90" w:rsidRPr="002A1733">
        <w:rPr>
          <w:b/>
          <w:noProof/>
          <w:color w:val="391B76"/>
          <w:lang w:eastAsia="en-AU"/>
        </w:rPr>
        <mc:AlternateContent>
          <mc:Choice Requires="wps">
            <w:drawing>
              <wp:anchor distT="45720" distB="45720" distL="114300" distR="114300" simplePos="0" relativeHeight="251660288" behindDoc="0" locked="0" layoutInCell="1" allowOverlap="1" wp14:anchorId="063450A6" wp14:editId="4AB8D546">
                <wp:simplePos x="0" y="0"/>
                <wp:positionH relativeFrom="column">
                  <wp:posOffset>4086225</wp:posOffset>
                </wp:positionH>
                <wp:positionV relativeFrom="paragraph">
                  <wp:posOffset>-1930317</wp:posOffset>
                </wp:positionV>
                <wp:extent cx="1838325" cy="768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768985"/>
                        </a:xfrm>
                        <a:prstGeom prst="rect">
                          <a:avLst/>
                        </a:prstGeom>
                        <a:noFill/>
                        <a:ln w="9525">
                          <a:noFill/>
                          <a:miter lim="800000"/>
                          <a:headEnd/>
                          <a:tailEnd/>
                        </a:ln>
                      </wps:spPr>
                      <wps:txbx>
                        <w:txbxContent>
                          <w:p w14:paraId="105AD166" w14:textId="2E464602" w:rsidR="002350CA" w:rsidRPr="003B6207" w:rsidRDefault="002350CA" w:rsidP="003B6207">
                            <w:pPr>
                              <w:spacing w:after="60" w:line="240" w:lineRule="auto"/>
                              <w:jc w:val="right"/>
                              <w:rPr>
                                <w:b/>
                                <w:color w:val="FFFFFF" w:themeColor="background1"/>
                                <w:sz w:val="18"/>
                                <w:szCs w:val="18"/>
                              </w:rPr>
                            </w:pPr>
                            <w:r w:rsidRPr="003B6207">
                              <w:rPr>
                                <w:b/>
                                <w:color w:val="FFFFFF" w:themeColor="background1"/>
                                <w:sz w:val="18"/>
                                <w:szCs w:val="18"/>
                              </w:rPr>
                              <w:t xml:space="preserve">Reviewed: </w:t>
                            </w:r>
                            <w:r w:rsidR="001F5FC9">
                              <w:rPr>
                                <w:b/>
                                <w:color w:val="FFFFFF" w:themeColor="background1"/>
                                <w:sz w:val="18"/>
                                <w:szCs w:val="18"/>
                              </w:rPr>
                              <w:t>May 2020</w:t>
                            </w:r>
                          </w:p>
                          <w:p w14:paraId="063450B9" w14:textId="57C9D474" w:rsidR="00B256F3" w:rsidRPr="003B6207" w:rsidRDefault="00320B1F" w:rsidP="003B6207">
                            <w:pPr>
                              <w:spacing w:after="60" w:line="240" w:lineRule="auto"/>
                              <w:jc w:val="right"/>
                              <w:rPr>
                                <w:b/>
                                <w:color w:val="FFFFFF" w:themeColor="background1"/>
                                <w:sz w:val="18"/>
                                <w:szCs w:val="18"/>
                              </w:rPr>
                            </w:pPr>
                            <w:r w:rsidRPr="003B6207">
                              <w:rPr>
                                <w:b/>
                                <w:color w:val="FFFFFF" w:themeColor="background1"/>
                                <w:sz w:val="18"/>
                                <w:szCs w:val="18"/>
                              </w:rPr>
                              <w:t>Ratified</w:t>
                            </w:r>
                            <w:r w:rsidR="00B256F3" w:rsidRPr="003B6207">
                              <w:rPr>
                                <w:b/>
                                <w:color w:val="FFFFFF" w:themeColor="background1"/>
                                <w:sz w:val="18"/>
                                <w:szCs w:val="18"/>
                              </w:rPr>
                              <w:t xml:space="preserve">: </w:t>
                            </w:r>
                          </w:p>
                          <w:p w14:paraId="063450BA" w14:textId="494A7930" w:rsidR="00B256F3" w:rsidRPr="003B6207" w:rsidRDefault="00320B1F" w:rsidP="003B6207">
                            <w:pPr>
                              <w:spacing w:after="60" w:line="240" w:lineRule="auto"/>
                              <w:jc w:val="right"/>
                              <w:rPr>
                                <w:b/>
                                <w:i/>
                                <w:color w:val="FFFFFF" w:themeColor="background1"/>
                                <w:sz w:val="18"/>
                                <w:szCs w:val="18"/>
                              </w:rPr>
                            </w:pPr>
                            <w:r w:rsidRPr="003B6207">
                              <w:rPr>
                                <w:b/>
                                <w:color w:val="FFFFFF" w:themeColor="background1"/>
                                <w:sz w:val="18"/>
                                <w:szCs w:val="18"/>
                              </w:rPr>
                              <w:t>Next Review</w:t>
                            </w:r>
                            <w:r w:rsidR="00B256F3" w:rsidRPr="003B6207">
                              <w:rPr>
                                <w:b/>
                                <w:color w:val="FFFFFF" w:themeColor="background1"/>
                                <w:sz w:val="18"/>
                                <w:szCs w:val="18"/>
                              </w:rPr>
                              <w:t>:</w:t>
                            </w:r>
                            <w:r w:rsidR="001F5FC9">
                              <w:rPr>
                                <w:b/>
                                <w:color w:val="FFFFFF" w:themeColor="background1"/>
                                <w:sz w:val="18"/>
                                <w:szCs w:val="18"/>
                              </w:rPr>
                              <w:t xml:space="preserve"> 2023</w:t>
                            </w:r>
                            <w:r w:rsidR="00B256F3" w:rsidRPr="003B6207">
                              <w:rPr>
                                <w:b/>
                                <w:color w:val="FFFFFF" w:themeColor="background1"/>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3450A6" id="_x0000_t202" coordsize="21600,21600" o:spt="202" path="m,l,21600r21600,l21600,xe">
                <v:stroke joinstyle="miter"/>
                <v:path gradientshapeok="t" o:connecttype="rect"/>
              </v:shapetype>
              <v:shape id="_x0000_s1028" type="#_x0000_t202" style="position:absolute;left:0;text-align:left;margin-left:321.75pt;margin-top:-152pt;width:144.75pt;height:60.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" filled="f" stroked="f">
                <v:textbox>
                  <w:txbxContent>
                    <w:p w14:paraId="105AD166" w14:textId="2E464602" w:rsidR="002350CA" w:rsidRPr="003B6207" w:rsidRDefault="002350CA" w:rsidP="003B6207">
                      <w:pPr>
                        <w:spacing w:after="60" w:line="240" w:lineRule="auto"/>
                        <w:jc w:val="right"/>
                        <w:rPr>
                          <w:b/>
                          <w:color w:val="FFFFFF" w:themeColor="background1"/>
                          <w:sz w:val="18"/>
                          <w:szCs w:val="18"/>
                        </w:rPr>
                      </w:pPr>
                      <w:r w:rsidRPr="003B6207">
                        <w:rPr>
                          <w:b/>
                          <w:color w:val="FFFFFF" w:themeColor="background1"/>
                          <w:sz w:val="18"/>
                          <w:szCs w:val="18"/>
                        </w:rPr>
                        <w:t xml:space="preserve">Reviewed: </w:t>
                      </w:r>
                      <w:r w:rsidR="001F5FC9">
                        <w:rPr>
                          <w:b/>
                          <w:color w:val="FFFFFF" w:themeColor="background1"/>
                          <w:sz w:val="18"/>
                          <w:szCs w:val="18"/>
                        </w:rPr>
                        <w:t>May 2020</w:t>
                      </w:r>
                    </w:p>
                    <w:p w14:paraId="063450B9" w14:textId="57C9D474" w:rsidR="00B256F3" w:rsidRPr="003B6207" w:rsidRDefault="00320B1F" w:rsidP="003B6207">
                      <w:pPr>
                        <w:spacing w:after="60" w:line="240" w:lineRule="auto"/>
                        <w:jc w:val="right"/>
                        <w:rPr>
                          <w:b/>
                          <w:color w:val="FFFFFF" w:themeColor="background1"/>
                          <w:sz w:val="18"/>
                          <w:szCs w:val="18"/>
                        </w:rPr>
                      </w:pPr>
                      <w:r w:rsidRPr="003B6207">
                        <w:rPr>
                          <w:b/>
                          <w:color w:val="FFFFFF" w:themeColor="background1"/>
                          <w:sz w:val="18"/>
                          <w:szCs w:val="18"/>
                        </w:rPr>
                        <w:t>Ratified</w:t>
                      </w:r>
                      <w:r w:rsidR="00B256F3" w:rsidRPr="003B6207">
                        <w:rPr>
                          <w:b/>
                          <w:color w:val="FFFFFF" w:themeColor="background1"/>
                          <w:sz w:val="18"/>
                          <w:szCs w:val="18"/>
                        </w:rPr>
                        <w:t xml:space="preserve">: </w:t>
                      </w:r>
                    </w:p>
                    <w:p w14:paraId="063450BA" w14:textId="494A7930" w:rsidR="00B256F3" w:rsidRPr="003B6207" w:rsidRDefault="00320B1F" w:rsidP="003B6207">
                      <w:pPr>
                        <w:spacing w:after="60" w:line="240" w:lineRule="auto"/>
                        <w:jc w:val="right"/>
                        <w:rPr>
                          <w:b/>
                          <w:i/>
                          <w:color w:val="FFFFFF" w:themeColor="background1"/>
                          <w:sz w:val="18"/>
                          <w:szCs w:val="18"/>
                        </w:rPr>
                      </w:pPr>
                      <w:r w:rsidRPr="003B6207">
                        <w:rPr>
                          <w:b/>
                          <w:color w:val="FFFFFF" w:themeColor="background1"/>
                          <w:sz w:val="18"/>
                          <w:szCs w:val="18"/>
                        </w:rPr>
                        <w:t>Next Review</w:t>
                      </w:r>
                      <w:r w:rsidR="00B256F3" w:rsidRPr="003B6207">
                        <w:rPr>
                          <w:b/>
                          <w:color w:val="FFFFFF" w:themeColor="background1"/>
                          <w:sz w:val="18"/>
                          <w:szCs w:val="18"/>
                        </w:rPr>
                        <w:t>:</w:t>
                      </w:r>
                      <w:r w:rsidR="001F5FC9">
                        <w:rPr>
                          <w:b/>
                          <w:color w:val="FFFFFF" w:themeColor="background1"/>
                          <w:sz w:val="18"/>
                          <w:szCs w:val="18"/>
                        </w:rPr>
                        <w:t xml:space="preserve"> 2023</w:t>
                      </w:r>
                      <w:r w:rsidR="00B256F3" w:rsidRPr="003B6207">
                        <w:rPr>
                          <w:b/>
                          <w:color w:val="FFFFFF" w:themeColor="background1"/>
                          <w:sz w:val="18"/>
                          <w:szCs w:val="18"/>
                        </w:rPr>
                        <w:t xml:space="preserve"> </w:t>
                      </w:r>
                    </w:p>
                  </w:txbxContent>
                </v:textbox>
              </v:shape>
            </w:pict>
          </mc:Fallback>
        </mc:AlternateContent>
      </w:r>
      <w:r w:rsidR="00320B1F">
        <w:rPr>
          <w:b/>
          <w:color w:val="391B76"/>
        </w:rPr>
        <w:t>Rationale</w:t>
      </w:r>
    </w:p>
    <w:p w14:paraId="1576DC29" w14:textId="47EAD136" w:rsidR="00E820D9" w:rsidRPr="00390B2D" w:rsidRDefault="00E820D9" w:rsidP="00A77481">
      <w:pPr>
        <w:pStyle w:val="BodyText"/>
        <w:spacing w:before="60"/>
      </w:pPr>
      <w:r>
        <w:t xml:space="preserve">This policy is to be read in conjunction with </w:t>
      </w:r>
      <w:r w:rsidR="00430A82">
        <w:t>Diocese of Ballarat Catholic Education Limited (</w:t>
      </w:r>
      <w:r>
        <w:t>DOBCEL</w:t>
      </w:r>
      <w:r w:rsidR="00430A82">
        <w:t>)</w:t>
      </w:r>
      <w:r>
        <w:t xml:space="preserve"> School Guidelines for Police and DHHS Interview Protocols 2019</w:t>
      </w:r>
    </w:p>
    <w:p w14:paraId="433DEB77" w14:textId="589CD358" w:rsidR="5CB8908E" w:rsidRDefault="5CB8908E" w:rsidP="00A77481">
      <w:pPr>
        <w:spacing w:before="121" w:after="120"/>
        <w:ind w:right="95"/>
        <w:jc w:val="both"/>
        <w:rPr>
          <w:rFonts w:ascii="Calibri" w:eastAsia="Calibri" w:hAnsi="Calibri" w:cs="Calibri"/>
        </w:rPr>
      </w:pPr>
      <w:r w:rsidRPr="00B3174D">
        <w:rPr>
          <w:rFonts w:ascii="Calibri" w:eastAsia="Calibri" w:hAnsi="Calibri" w:cs="Calibri"/>
        </w:rPr>
        <w:t xml:space="preserve">DOBCEL takes account of diverse circumstances and needs of all children, including the needs of Aboriginal and Torres Strait Islander children, children from culturally and linguistically diverse backgrounds, children with disabilities, and children who are vulnerable and make reasonable efforts for their inclusion. </w:t>
      </w:r>
    </w:p>
    <w:p w14:paraId="1364C963" w14:textId="1C8E9C74" w:rsidR="00BD4E34" w:rsidRDefault="00BD4E34" w:rsidP="00BD4E34">
      <w:pPr>
        <w:spacing w:after="0" w:line="240" w:lineRule="auto"/>
        <w:ind w:right="96"/>
        <w:jc w:val="both"/>
        <w:rPr>
          <w:rFonts w:ascii="Calibri" w:eastAsia="Calibri" w:hAnsi="Calibri" w:cs="Calibri"/>
        </w:rPr>
      </w:pPr>
    </w:p>
    <w:p w14:paraId="2614DE8A" w14:textId="77777777" w:rsidR="00BD4E34" w:rsidRPr="00B3174D" w:rsidRDefault="00BD4E34" w:rsidP="00BD4E34">
      <w:pPr>
        <w:spacing w:after="0" w:line="240" w:lineRule="auto"/>
        <w:ind w:right="96"/>
        <w:jc w:val="both"/>
      </w:pPr>
    </w:p>
    <w:p w14:paraId="0BE8CF2A" w14:textId="32F98862" w:rsidR="00E820D9" w:rsidRPr="00EF4A72" w:rsidRDefault="00157975" w:rsidP="00BD4E34">
      <w:pPr>
        <w:pStyle w:val="Heading1"/>
        <w:spacing w:before="0"/>
        <w:jc w:val="both"/>
        <w:rPr>
          <w:color w:val="391B76"/>
        </w:rPr>
      </w:pPr>
      <w:r w:rsidRPr="00430A82">
        <w:rPr>
          <w:rStyle w:val="Strong"/>
          <w:bCs w:val="0"/>
          <w:color w:val="391B76"/>
        </w:rPr>
        <w:t>Background</w:t>
      </w:r>
      <w:r w:rsidR="00E820D9" w:rsidRPr="00EF4A72">
        <w:rPr>
          <w:rStyle w:val="Strong"/>
          <w:bCs w:val="0"/>
          <w:color w:val="391B76"/>
        </w:rPr>
        <w:t xml:space="preserve"> </w:t>
      </w:r>
    </w:p>
    <w:p w14:paraId="58EFE5C9" w14:textId="77777777" w:rsidR="009D463C" w:rsidRDefault="00E820D9" w:rsidP="00A77481">
      <w:pPr>
        <w:pStyle w:val="leadertext"/>
        <w:shd w:val="clear" w:color="auto" w:fill="FFFFFF" w:themeFill="background1"/>
        <w:spacing w:before="0" w:beforeAutospacing="0" w:after="160" w:afterAutospacing="0" w:line="259" w:lineRule="auto"/>
        <w:jc w:val="both"/>
        <w:rPr>
          <w:rFonts w:asciiTheme="minorHAnsi" w:hAnsiTheme="minorHAnsi" w:cstheme="minorHAnsi"/>
          <w:sz w:val="22"/>
          <w:szCs w:val="22"/>
        </w:rPr>
      </w:pPr>
      <w:r w:rsidRPr="004E6459">
        <w:rPr>
          <w:rFonts w:asciiTheme="minorHAnsi" w:hAnsiTheme="minorHAnsi" w:cstheme="minorHAnsi"/>
          <w:sz w:val="22"/>
          <w:szCs w:val="22"/>
        </w:rPr>
        <w:t>Protection for children and young people is based upon the belief that each person is made in the image and likeness of God and that the inherent dignity of all should be recognised and fostered.</w:t>
      </w:r>
    </w:p>
    <w:p w14:paraId="526C515F" w14:textId="77777777" w:rsidR="009D463C" w:rsidRDefault="00E820D9" w:rsidP="00A77481">
      <w:pPr>
        <w:pStyle w:val="leadertext"/>
        <w:shd w:val="clear" w:color="auto" w:fill="FFFFFF" w:themeFill="background1"/>
        <w:spacing w:before="0" w:beforeAutospacing="0" w:after="160" w:afterAutospacing="0" w:line="259" w:lineRule="auto"/>
        <w:jc w:val="both"/>
        <w:rPr>
          <w:rFonts w:asciiTheme="minorHAnsi" w:hAnsiTheme="minorHAnsi" w:cstheme="minorHAnsi"/>
          <w:sz w:val="22"/>
          <w:szCs w:val="22"/>
        </w:rPr>
      </w:pPr>
      <w:r w:rsidRPr="004E6459">
        <w:rPr>
          <w:rFonts w:asciiTheme="minorHAnsi" w:hAnsiTheme="minorHAnsi" w:cstheme="minorHAnsi"/>
          <w:sz w:val="22"/>
          <w:szCs w:val="22"/>
        </w:rPr>
        <w:t xml:space="preserve">Catholic schools are entrusted with the holistic education of </w:t>
      </w:r>
      <w:r w:rsidR="439E3DC6" w:rsidRPr="004E6459">
        <w:rPr>
          <w:rFonts w:asciiTheme="minorHAnsi" w:hAnsiTheme="minorHAnsi" w:cstheme="minorHAnsi"/>
          <w:sz w:val="22"/>
          <w:szCs w:val="22"/>
        </w:rPr>
        <w:t>children and young people</w:t>
      </w:r>
      <w:r w:rsidRPr="004E6459">
        <w:rPr>
          <w:rFonts w:asciiTheme="minorHAnsi" w:hAnsiTheme="minorHAnsi" w:cstheme="minorHAnsi"/>
          <w:sz w:val="22"/>
          <w:szCs w:val="22"/>
        </w:rPr>
        <w:t xml:space="preserve">, in partnership with parents, guardians and caregivers, who are the primary educators of their children. </w:t>
      </w:r>
      <w:r w:rsidR="00430A82" w:rsidRPr="004E6459">
        <w:rPr>
          <w:rFonts w:asciiTheme="minorHAnsi" w:hAnsiTheme="minorHAnsi" w:cstheme="minorHAnsi"/>
          <w:sz w:val="22"/>
          <w:szCs w:val="22"/>
        </w:rPr>
        <w:t>All DOBCEL</w:t>
      </w:r>
      <w:r w:rsidRPr="004E6459">
        <w:rPr>
          <w:rFonts w:asciiTheme="minorHAnsi" w:hAnsiTheme="minorHAnsi" w:cstheme="minorHAnsi"/>
          <w:sz w:val="22"/>
          <w:szCs w:val="22"/>
        </w:rPr>
        <w:t xml:space="preserve"> staff therefore</w:t>
      </w:r>
      <w:r w:rsidR="00430A82" w:rsidRPr="004E6459">
        <w:rPr>
          <w:rFonts w:asciiTheme="minorHAnsi" w:hAnsiTheme="minorHAnsi" w:cstheme="minorHAnsi"/>
          <w:sz w:val="22"/>
          <w:szCs w:val="22"/>
        </w:rPr>
        <w:t>,</w:t>
      </w:r>
      <w:r w:rsidRPr="004E6459">
        <w:rPr>
          <w:rFonts w:asciiTheme="minorHAnsi" w:hAnsiTheme="minorHAnsi" w:cstheme="minorHAnsi"/>
          <w:sz w:val="22"/>
          <w:szCs w:val="22"/>
        </w:rPr>
        <w:t xml:space="preserve"> have a </w:t>
      </w:r>
      <w:r w:rsidR="00430A82" w:rsidRPr="004E6459">
        <w:rPr>
          <w:rFonts w:asciiTheme="minorHAnsi" w:hAnsiTheme="minorHAnsi" w:cstheme="minorHAnsi"/>
          <w:sz w:val="22"/>
          <w:szCs w:val="22"/>
        </w:rPr>
        <w:t>‘</w:t>
      </w:r>
      <w:r w:rsidRPr="004E6459">
        <w:rPr>
          <w:rFonts w:asciiTheme="minorHAnsi" w:hAnsiTheme="minorHAnsi" w:cstheme="minorHAnsi"/>
          <w:sz w:val="22"/>
          <w:szCs w:val="22"/>
        </w:rPr>
        <w:t>duty of care</w:t>
      </w:r>
      <w:r w:rsidR="00430A82" w:rsidRPr="004E6459">
        <w:rPr>
          <w:rFonts w:asciiTheme="minorHAnsi" w:hAnsiTheme="minorHAnsi" w:cstheme="minorHAnsi"/>
          <w:sz w:val="22"/>
          <w:szCs w:val="22"/>
        </w:rPr>
        <w:t>’</w:t>
      </w:r>
      <w:r w:rsidRPr="004E6459">
        <w:rPr>
          <w:rFonts w:asciiTheme="minorHAnsi" w:hAnsiTheme="minorHAnsi" w:cstheme="minorHAnsi"/>
          <w:sz w:val="22"/>
          <w:szCs w:val="22"/>
        </w:rPr>
        <w:t xml:space="preserve"> to students to take reasonable care to avoid acts or omissions that they can reasonably foresee would be likely to result in harm or injury to the student, and to work for the positive wellbeing of</w:t>
      </w:r>
      <w:r w:rsidR="4B3566A9" w:rsidRPr="004E6459">
        <w:rPr>
          <w:rFonts w:asciiTheme="minorHAnsi" w:hAnsiTheme="minorHAnsi" w:cstheme="minorHAnsi"/>
          <w:sz w:val="22"/>
          <w:szCs w:val="22"/>
        </w:rPr>
        <w:t xml:space="preserve"> children and young people</w:t>
      </w:r>
      <w:r w:rsidRPr="004E6459">
        <w:rPr>
          <w:rFonts w:asciiTheme="minorHAnsi" w:hAnsiTheme="minorHAnsi" w:cstheme="minorHAnsi"/>
          <w:sz w:val="22"/>
          <w:szCs w:val="22"/>
        </w:rPr>
        <w:t>.</w:t>
      </w:r>
    </w:p>
    <w:p w14:paraId="29AB75B5" w14:textId="77777777" w:rsidR="009D463C" w:rsidRDefault="00E820D9" w:rsidP="00A77481">
      <w:pPr>
        <w:pStyle w:val="leadertext"/>
        <w:shd w:val="clear" w:color="auto" w:fill="FFFFFF" w:themeFill="background1"/>
        <w:spacing w:before="0" w:beforeAutospacing="0" w:after="160" w:afterAutospacing="0" w:line="259" w:lineRule="auto"/>
        <w:jc w:val="both"/>
        <w:rPr>
          <w:rFonts w:asciiTheme="minorHAnsi" w:hAnsiTheme="minorHAnsi" w:cstheme="minorHAnsi"/>
          <w:sz w:val="22"/>
          <w:szCs w:val="22"/>
        </w:rPr>
      </w:pPr>
      <w:r w:rsidRPr="004E6459">
        <w:rPr>
          <w:rFonts w:asciiTheme="minorHAnsi" w:hAnsiTheme="minorHAnsi" w:cstheme="minorHAnsi"/>
          <w:sz w:val="22"/>
          <w:szCs w:val="22"/>
        </w:rPr>
        <w:t>Under the </w:t>
      </w:r>
      <w:hyperlink r:id="rId10">
        <w:r w:rsidRPr="004E6459">
          <w:rPr>
            <w:rStyle w:val="Emphasis"/>
            <w:rFonts w:asciiTheme="minorHAnsi" w:eastAsiaTheme="majorEastAsia" w:hAnsiTheme="minorHAnsi" w:cstheme="minorHAnsi"/>
            <w:sz w:val="22"/>
            <w:szCs w:val="22"/>
          </w:rPr>
          <w:t>National Framework for Protecting Australia’s Children 2009–2020, </w:t>
        </w:r>
      </w:hyperlink>
      <w:r w:rsidRPr="004E6459">
        <w:rPr>
          <w:rFonts w:asciiTheme="minorHAnsi" w:hAnsiTheme="minorHAnsi" w:cstheme="minorHAnsi"/>
          <w:sz w:val="22"/>
          <w:szCs w:val="22"/>
        </w:rPr>
        <w:t>protecting children is everyone’s responsibility – parents, communities, governments and businesses all have a role to play.</w:t>
      </w:r>
    </w:p>
    <w:p w14:paraId="72A5BB3E" w14:textId="345E889B" w:rsidR="00E820D9" w:rsidRPr="004E6459" w:rsidRDefault="00E820D9" w:rsidP="00A77481">
      <w:pPr>
        <w:pStyle w:val="leadertext"/>
        <w:shd w:val="clear" w:color="auto" w:fill="FFFFFF" w:themeFill="background1"/>
        <w:spacing w:before="0" w:beforeAutospacing="0" w:after="160" w:afterAutospacing="0" w:line="259" w:lineRule="auto"/>
        <w:jc w:val="both"/>
        <w:rPr>
          <w:rFonts w:asciiTheme="minorHAnsi" w:hAnsiTheme="minorHAnsi" w:cstheme="minorHAnsi"/>
          <w:sz w:val="22"/>
          <w:szCs w:val="22"/>
        </w:rPr>
      </w:pPr>
      <w:r w:rsidRPr="004E6459">
        <w:rPr>
          <w:rFonts w:asciiTheme="minorHAnsi" w:hAnsiTheme="minorHAnsi" w:cstheme="minorHAnsi"/>
          <w:sz w:val="22"/>
          <w:szCs w:val="22"/>
        </w:rPr>
        <w:t>In Victoria, a joint protocol, </w:t>
      </w:r>
      <w:hyperlink r:id="rId11">
        <w:r w:rsidRPr="004E6459">
          <w:rPr>
            <w:rStyle w:val="Emphasis"/>
            <w:rFonts w:asciiTheme="minorHAnsi" w:eastAsiaTheme="majorEastAsia" w:hAnsiTheme="minorHAnsi" w:cstheme="minorHAnsi"/>
            <w:sz w:val="22"/>
            <w:szCs w:val="22"/>
          </w:rPr>
          <w:t>Protect: Identifying and Responding to All Forms of Abuse in Victorian</w:t>
        </w:r>
        <w:r w:rsidRPr="004E6459">
          <w:rPr>
            <w:rStyle w:val="Hyperlink"/>
            <w:rFonts w:asciiTheme="minorHAnsi" w:hAnsiTheme="minorHAnsi" w:cstheme="minorHAnsi"/>
            <w:color w:val="auto"/>
            <w:sz w:val="22"/>
            <w:szCs w:val="22"/>
          </w:rPr>
          <w:t> </w:t>
        </w:r>
        <w:r w:rsidRPr="004E6459">
          <w:rPr>
            <w:rStyle w:val="Emphasis"/>
            <w:rFonts w:asciiTheme="minorHAnsi" w:eastAsiaTheme="majorEastAsia" w:hAnsiTheme="minorHAnsi" w:cstheme="minorHAnsi"/>
            <w:sz w:val="22"/>
            <w:szCs w:val="22"/>
          </w:rPr>
          <w:t>Schools</w:t>
        </w:r>
      </w:hyperlink>
      <w:r w:rsidRPr="004E6459">
        <w:rPr>
          <w:rFonts w:asciiTheme="minorHAnsi" w:hAnsiTheme="minorHAnsi" w:cstheme="minorHAnsi"/>
          <w:sz w:val="22"/>
          <w:szCs w:val="22"/>
        </w:rPr>
        <w:t>, involving the Victorian Department of Education and Training (DET), the Catholic Education Commission of Victoria Ltd (CECV) and Independent Schools Victoria (ISV) exists to protect the safety and wellbeing of children and young people.</w:t>
      </w:r>
    </w:p>
    <w:p w14:paraId="3372A54A" w14:textId="77777777" w:rsidR="00A77481" w:rsidRDefault="40997535" w:rsidP="00082BB1">
      <w:pPr>
        <w:pStyle w:val="leadertext"/>
        <w:shd w:val="clear" w:color="auto" w:fill="FFFFFF" w:themeFill="background1"/>
        <w:spacing w:before="0" w:beforeAutospacing="0" w:after="160" w:afterAutospacing="0" w:line="259" w:lineRule="auto"/>
        <w:jc w:val="both"/>
        <w:rPr>
          <w:rFonts w:asciiTheme="minorHAnsi" w:eastAsiaTheme="minorEastAsia" w:hAnsiTheme="minorHAnsi" w:cstheme="minorHAnsi"/>
          <w:sz w:val="22"/>
          <w:szCs w:val="22"/>
        </w:rPr>
      </w:pPr>
      <w:r w:rsidRPr="004E6459">
        <w:rPr>
          <w:rFonts w:asciiTheme="minorHAnsi" w:hAnsiTheme="minorHAnsi" w:cstheme="minorHAnsi"/>
          <w:sz w:val="22"/>
          <w:szCs w:val="22"/>
        </w:rPr>
        <w:t>In Victoria, a joint protocol</w:t>
      </w:r>
      <w:r w:rsidR="2F8C1716" w:rsidRPr="004E6459">
        <w:rPr>
          <w:rFonts w:asciiTheme="minorHAnsi" w:hAnsiTheme="minorHAnsi" w:cstheme="minorHAnsi"/>
          <w:sz w:val="22"/>
          <w:szCs w:val="22"/>
        </w:rPr>
        <w:t xml:space="preserve"> </w:t>
      </w:r>
      <w:hyperlink r:id="rId12">
        <w:r w:rsidR="2F8C1716" w:rsidRPr="009D463C">
          <w:rPr>
            <w:rStyle w:val="Hyperlink"/>
            <w:rFonts w:asciiTheme="minorHAnsi" w:eastAsiaTheme="minorHAnsi" w:hAnsiTheme="minorHAnsi" w:cstheme="minorBidi"/>
            <w:sz w:val="22"/>
            <w:szCs w:val="22"/>
            <w:lang w:eastAsia="en-US"/>
          </w:rPr>
          <w:t>PROTECT Identifying and responding to Student Sexual Offending</w:t>
        </w:r>
      </w:hyperlink>
      <w:r w:rsidRPr="004E6459">
        <w:rPr>
          <w:rFonts w:asciiTheme="minorHAnsi" w:hAnsiTheme="minorHAnsi" w:cstheme="minorHAnsi"/>
          <w:sz w:val="22"/>
          <w:szCs w:val="22"/>
        </w:rPr>
        <w:t xml:space="preserve"> </w:t>
      </w:r>
      <w:r w:rsidR="22A217F0" w:rsidRPr="004E6459">
        <w:rPr>
          <w:rFonts w:asciiTheme="minorHAnsi" w:eastAsiaTheme="minorEastAsia" w:hAnsiTheme="minorHAnsi" w:cstheme="minorHAnsi"/>
          <w:sz w:val="22"/>
          <w:szCs w:val="22"/>
        </w:rPr>
        <w:t xml:space="preserve">has been developed to support all school staff (principals, teachers, education support staff, allied health professionals, contractors and administrative staff etc.) in all Victorian schools (government, Catholic and independent) </w:t>
      </w:r>
      <w:r w:rsidR="0644B021" w:rsidRPr="004E6459">
        <w:rPr>
          <w:rFonts w:asciiTheme="minorHAnsi" w:eastAsiaTheme="minorEastAsia" w:hAnsiTheme="minorHAnsi" w:cstheme="minorHAnsi"/>
          <w:sz w:val="22"/>
          <w:szCs w:val="22"/>
        </w:rPr>
        <w:t xml:space="preserve">to </w:t>
      </w:r>
      <w:r w:rsidR="22A217F0" w:rsidRPr="004E6459">
        <w:rPr>
          <w:rFonts w:asciiTheme="minorHAnsi" w:eastAsiaTheme="minorEastAsia" w:hAnsiTheme="minorHAnsi" w:cstheme="minorHAnsi"/>
          <w:sz w:val="22"/>
          <w:szCs w:val="22"/>
        </w:rPr>
        <w:t>take action if they suspect, or are witness to student sexual offending</w:t>
      </w:r>
      <w:r w:rsidR="00A77481">
        <w:rPr>
          <w:rFonts w:asciiTheme="minorHAnsi" w:eastAsiaTheme="minorEastAsia" w:hAnsiTheme="minorHAnsi" w:cstheme="minorHAnsi"/>
          <w:sz w:val="22"/>
          <w:szCs w:val="22"/>
        </w:rPr>
        <w:t xml:space="preserve">. </w:t>
      </w:r>
    </w:p>
    <w:p w14:paraId="05A66E9D" w14:textId="6B1C4A8E" w:rsidR="00A77481" w:rsidRDefault="00E820D9" w:rsidP="00A77481">
      <w:pPr>
        <w:pStyle w:val="leadertext"/>
        <w:shd w:val="clear" w:color="auto" w:fill="FFFFFF" w:themeFill="background1"/>
        <w:spacing w:before="0" w:beforeAutospacing="0" w:after="160" w:afterAutospacing="0" w:line="259" w:lineRule="auto"/>
        <w:jc w:val="both"/>
        <w:rPr>
          <w:rFonts w:asciiTheme="minorHAnsi" w:hAnsiTheme="minorHAnsi" w:cstheme="minorHAnsi"/>
          <w:sz w:val="22"/>
          <w:szCs w:val="22"/>
        </w:rPr>
      </w:pPr>
      <w:r w:rsidRPr="004E6459">
        <w:rPr>
          <w:rFonts w:asciiTheme="minorHAnsi" w:hAnsiTheme="minorHAnsi" w:cstheme="minorHAnsi"/>
          <w:sz w:val="22"/>
          <w:szCs w:val="22"/>
        </w:rPr>
        <w:t>DET has also produced </w:t>
      </w:r>
      <w:hyperlink r:id="rId13">
        <w:r w:rsidRPr="004E6459">
          <w:rPr>
            <w:rStyle w:val="Emphasis"/>
            <w:rFonts w:asciiTheme="minorHAnsi" w:eastAsiaTheme="majorEastAsia" w:hAnsiTheme="minorHAnsi" w:cstheme="minorHAnsi"/>
            <w:sz w:val="22"/>
            <w:szCs w:val="22"/>
          </w:rPr>
          <w:t>Four Critical Actions for Schools: Responding to Incidents, Disclosures and</w:t>
        </w:r>
        <w:r w:rsidR="00A77481">
          <w:rPr>
            <w:rStyle w:val="Hyperlink"/>
            <w:rFonts w:asciiTheme="minorHAnsi" w:hAnsiTheme="minorHAnsi" w:cstheme="minorHAnsi"/>
            <w:color w:val="auto"/>
            <w:sz w:val="22"/>
            <w:szCs w:val="22"/>
          </w:rPr>
          <w:t xml:space="preserve"> </w:t>
        </w:r>
        <w:r w:rsidRPr="004E6459">
          <w:rPr>
            <w:rStyle w:val="Emphasis"/>
            <w:rFonts w:asciiTheme="minorHAnsi" w:eastAsiaTheme="majorEastAsia" w:hAnsiTheme="minorHAnsi" w:cstheme="minorHAnsi"/>
            <w:sz w:val="22"/>
            <w:szCs w:val="22"/>
          </w:rPr>
          <w:t>Suspicions of Child Abuse</w:t>
        </w:r>
      </w:hyperlink>
      <w:r w:rsidRPr="004E6459">
        <w:rPr>
          <w:rFonts w:asciiTheme="minorHAnsi" w:hAnsiTheme="minorHAnsi" w:cstheme="minorHAnsi"/>
          <w:sz w:val="22"/>
          <w:szCs w:val="22"/>
        </w:rPr>
        <w:t> </w:t>
      </w:r>
      <w:r w:rsidR="6F961CF7" w:rsidRPr="004E6459">
        <w:rPr>
          <w:rFonts w:asciiTheme="minorHAnsi" w:hAnsiTheme="minorHAnsi" w:cstheme="minorHAnsi"/>
          <w:sz w:val="22"/>
          <w:szCs w:val="22"/>
        </w:rPr>
        <w:t>,</w:t>
      </w:r>
      <w:r w:rsidRPr="004E6459">
        <w:rPr>
          <w:rFonts w:asciiTheme="minorHAnsi" w:hAnsiTheme="minorHAnsi" w:cstheme="minorHAnsi"/>
          <w:sz w:val="22"/>
          <w:szCs w:val="22"/>
        </w:rPr>
        <w:t> </w:t>
      </w:r>
      <w:hyperlink r:id="rId14">
        <w:r w:rsidRPr="004E6459">
          <w:rPr>
            <w:rStyle w:val="Emphasis"/>
            <w:rFonts w:asciiTheme="minorHAnsi" w:eastAsiaTheme="majorEastAsia" w:hAnsiTheme="minorHAnsi" w:cstheme="minorHAnsi"/>
            <w:sz w:val="22"/>
            <w:szCs w:val="22"/>
          </w:rPr>
          <w:t xml:space="preserve">Protect: Responding to Suspected Child Abuse: A Template for all Victorian </w:t>
        </w:r>
        <w:r w:rsidRPr="004E6459">
          <w:rPr>
            <w:rStyle w:val="Emphasis"/>
            <w:rFonts w:asciiTheme="minorHAnsi" w:eastAsiaTheme="majorEastAsia" w:hAnsiTheme="minorHAnsi" w:cstheme="minorHAnsi"/>
            <w:sz w:val="22"/>
            <w:szCs w:val="22"/>
          </w:rPr>
          <w:lastRenderedPageBreak/>
          <w:t>Schools</w:t>
        </w:r>
      </w:hyperlink>
      <w:r w:rsidRPr="004E6459">
        <w:rPr>
          <w:rStyle w:val="Emphasis"/>
          <w:rFonts w:asciiTheme="minorHAnsi" w:eastAsiaTheme="majorEastAsia" w:hAnsiTheme="minorHAnsi" w:cstheme="minorHAnsi"/>
          <w:sz w:val="22"/>
          <w:szCs w:val="22"/>
        </w:rPr>
        <w:t>,</w:t>
      </w:r>
      <w:r w:rsidR="43E36F4D" w:rsidRPr="004E6459">
        <w:rPr>
          <w:rStyle w:val="Emphasis"/>
          <w:rFonts w:asciiTheme="minorHAnsi" w:eastAsiaTheme="majorEastAsia" w:hAnsiTheme="minorHAnsi" w:cstheme="minorHAnsi"/>
          <w:sz w:val="22"/>
          <w:szCs w:val="22"/>
        </w:rPr>
        <w:t xml:space="preserve"> </w:t>
      </w:r>
      <w:hyperlink r:id="rId15">
        <w:r w:rsidR="7B725B97" w:rsidRPr="009D463C">
          <w:rPr>
            <w:rStyle w:val="Hyperlink"/>
            <w:rFonts w:asciiTheme="minorHAnsi" w:eastAsiaTheme="minorHAnsi" w:hAnsiTheme="minorHAnsi" w:cstheme="minorBidi"/>
            <w:sz w:val="22"/>
            <w:szCs w:val="22"/>
            <w:lang w:eastAsia="en-US"/>
          </w:rPr>
          <w:t>Four Critical Actions for Schools Responding to Student Sexual Offending</w:t>
        </w:r>
      </w:hyperlink>
      <w:r w:rsidRPr="004E6459">
        <w:rPr>
          <w:rFonts w:asciiTheme="minorHAnsi" w:hAnsiTheme="minorHAnsi" w:cstheme="minorHAnsi"/>
          <w:sz w:val="22"/>
          <w:szCs w:val="22"/>
        </w:rPr>
        <w:t xml:space="preserve"> which are referred to in the joint protocol</w:t>
      </w:r>
      <w:r w:rsidR="2350C558" w:rsidRPr="004E6459">
        <w:rPr>
          <w:rFonts w:asciiTheme="minorHAnsi" w:hAnsiTheme="minorHAnsi" w:cstheme="minorHAnsi"/>
          <w:sz w:val="22"/>
          <w:szCs w:val="22"/>
        </w:rPr>
        <w:t>s</w:t>
      </w:r>
      <w:r w:rsidRPr="004E6459">
        <w:rPr>
          <w:rFonts w:asciiTheme="minorHAnsi" w:hAnsiTheme="minorHAnsi" w:cstheme="minorHAnsi"/>
          <w:sz w:val="22"/>
          <w:szCs w:val="22"/>
        </w:rPr>
        <w:t>.</w:t>
      </w:r>
    </w:p>
    <w:p w14:paraId="7D602F8F" w14:textId="657DC349" w:rsidR="00E820D9" w:rsidRDefault="00E820D9" w:rsidP="00A77481">
      <w:pPr>
        <w:pStyle w:val="leadertext"/>
        <w:shd w:val="clear" w:color="auto" w:fill="FFFFFF" w:themeFill="background1"/>
        <w:spacing w:before="0" w:beforeAutospacing="0" w:after="0" w:afterAutospacing="0" w:line="259" w:lineRule="auto"/>
        <w:jc w:val="both"/>
        <w:rPr>
          <w:rFonts w:asciiTheme="minorHAnsi" w:hAnsiTheme="minorHAnsi" w:cs="Arial"/>
          <w:color w:val="313131"/>
          <w:sz w:val="22"/>
          <w:szCs w:val="22"/>
        </w:rPr>
      </w:pPr>
      <w:r w:rsidRPr="7B480CE9">
        <w:rPr>
          <w:rStyle w:val="Strong"/>
          <w:rFonts w:asciiTheme="minorHAnsi" w:eastAsiaTheme="majorEastAsia" w:hAnsiTheme="minorHAnsi" w:cs="Arial"/>
          <w:color w:val="313131"/>
          <w:sz w:val="22"/>
          <w:szCs w:val="22"/>
        </w:rPr>
        <w:t xml:space="preserve">All </w:t>
      </w:r>
      <w:r w:rsidR="00157975" w:rsidRPr="7B480CE9">
        <w:rPr>
          <w:rStyle w:val="Strong"/>
          <w:rFonts w:asciiTheme="minorHAnsi" w:eastAsiaTheme="majorEastAsia" w:hAnsiTheme="minorHAnsi" w:cs="Arial"/>
          <w:color w:val="313131"/>
          <w:sz w:val="22"/>
          <w:szCs w:val="22"/>
        </w:rPr>
        <w:t xml:space="preserve">DOBCEL employees, </w:t>
      </w:r>
      <w:r w:rsidRPr="7B480CE9">
        <w:rPr>
          <w:rStyle w:val="Strong"/>
          <w:rFonts w:asciiTheme="minorHAnsi" w:eastAsiaTheme="majorEastAsia" w:hAnsiTheme="minorHAnsi" w:cs="Arial"/>
          <w:color w:val="313131"/>
          <w:sz w:val="22"/>
          <w:szCs w:val="22"/>
        </w:rPr>
        <w:t>teachers, other school staff members, volunteers, contractors, other service providers, parish priests, and canonical and religious order administrators of Catholic schools within Victoria </w:t>
      </w:r>
      <w:r w:rsidRPr="7B480CE9">
        <w:rPr>
          <w:rFonts w:asciiTheme="minorHAnsi" w:hAnsiTheme="minorHAnsi" w:cs="Arial"/>
          <w:color w:val="313131"/>
          <w:sz w:val="22"/>
          <w:szCs w:val="22"/>
        </w:rPr>
        <w:t>must understand and abide by the professional, moral and legal obligations to implement child protection and child safety policies, protocols and practices.</w:t>
      </w:r>
    </w:p>
    <w:p w14:paraId="24B9C69A" w14:textId="0604B7D3" w:rsidR="00A77481" w:rsidRDefault="00A77481" w:rsidP="00A77481">
      <w:pPr>
        <w:pStyle w:val="leadertext"/>
        <w:shd w:val="clear" w:color="auto" w:fill="FFFFFF" w:themeFill="background1"/>
        <w:spacing w:before="0" w:beforeAutospacing="0" w:after="0" w:afterAutospacing="0"/>
        <w:rPr>
          <w:rFonts w:asciiTheme="minorHAnsi" w:hAnsiTheme="minorHAnsi" w:cs="Arial"/>
          <w:color w:val="313131"/>
          <w:sz w:val="22"/>
          <w:szCs w:val="22"/>
        </w:rPr>
      </w:pPr>
    </w:p>
    <w:p w14:paraId="7E0CBDC4" w14:textId="77777777" w:rsidR="00A77481" w:rsidRDefault="00A77481" w:rsidP="00A77481">
      <w:pPr>
        <w:pStyle w:val="leadertext"/>
        <w:shd w:val="clear" w:color="auto" w:fill="FFFFFF" w:themeFill="background1"/>
        <w:spacing w:before="0" w:beforeAutospacing="0" w:after="0" w:afterAutospacing="0"/>
        <w:rPr>
          <w:rFonts w:asciiTheme="minorHAnsi" w:hAnsiTheme="minorHAnsi" w:cs="Arial"/>
          <w:color w:val="313131"/>
          <w:sz w:val="22"/>
          <w:szCs w:val="22"/>
        </w:rPr>
      </w:pPr>
    </w:p>
    <w:p w14:paraId="6E0D6EB7" w14:textId="1B4BACF5" w:rsidR="00E820D9" w:rsidRPr="00EF4A72" w:rsidRDefault="00430A82" w:rsidP="00082BB1">
      <w:pPr>
        <w:pStyle w:val="Heading1"/>
        <w:spacing w:before="0"/>
        <w:jc w:val="both"/>
        <w:rPr>
          <w:color w:val="391B76"/>
        </w:rPr>
      </w:pPr>
      <w:r>
        <w:rPr>
          <w:rStyle w:val="Strong"/>
          <w:bCs w:val="0"/>
          <w:color w:val="391B76"/>
        </w:rPr>
        <w:t>P</w:t>
      </w:r>
      <w:r w:rsidR="00157975" w:rsidRPr="00430A82">
        <w:rPr>
          <w:rStyle w:val="Strong"/>
          <w:bCs w:val="0"/>
          <w:color w:val="391B76"/>
        </w:rPr>
        <w:t>olicy</w:t>
      </w:r>
    </w:p>
    <w:p w14:paraId="5672F310" w14:textId="77777777" w:rsidR="00082BB1" w:rsidRDefault="00E820D9" w:rsidP="00082BB1">
      <w:pPr>
        <w:pStyle w:val="NormalWeb"/>
        <w:shd w:val="clear" w:color="auto" w:fill="FFFFFF" w:themeFill="background1"/>
        <w:spacing w:before="60" w:beforeAutospacing="0" w:after="160" w:afterAutospacing="0"/>
        <w:jc w:val="both"/>
        <w:rPr>
          <w:rFonts w:asciiTheme="minorHAnsi" w:hAnsiTheme="minorHAnsi" w:cs="Arial"/>
          <w:sz w:val="22"/>
          <w:szCs w:val="22"/>
        </w:rPr>
      </w:pPr>
      <w:r w:rsidRPr="004E6459">
        <w:rPr>
          <w:rFonts w:asciiTheme="minorHAnsi" w:hAnsiTheme="minorHAnsi" w:cs="Arial"/>
          <w:sz w:val="22"/>
          <w:szCs w:val="22"/>
        </w:rPr>
        <w:t>Ministerial Order No. 870: </w:t>
      </w:r>
      <w:r w:rsidRPr="004E6459">
        <w:rPr>
          <w:rStyle w:val="Emphasis"/>
          <w:rFonts w:asciiTheme="minorHAnsi" w:hAnsiTheme="minorHAnsi" w:cs="Arial"/>
          <w:sz w:val="22"/>
          <w:szCs w:val="22"/>
        </w:rPr>
        <w:t>Child Safe Standards –</w:t>
      </w:r>
      <w:r w:rsidRPr="004E6459">
        <w:rPr>
          <w:rFonts w:asciiTheme="minorHAnsi" w:hAnsiTheme="minorHAnsi" w:cs="Arial"/>
          <w:sz w:val="22"/>
          <w:szCs w:val="22"/>
        </w:rPr>
        <w:t> </w:t>
      </w:r>
      <w:r w:rsidRPr="004E6459">
        <w:rPr>
          <w:rStyle w:val="Emphasis"/>
          <w:rFonts w:asciiTheme="minorHAnsi" w:hAnsiTheme="minorHAnsi" w:cs="Arial"/>
          <w:sz w:val="22"/>
          <w:szCs w:val="22"/>
        </w:rPr>
        <w:t>Managing the Risk of Child Abuse in Schools </w:t>
      </w:r>
      <w:r w:rsidRPr="004E6459">
        <w:rPr>
          <w:rFonts w:asciiTheme="minorHAnsi" w:hAnsiTheme="minorHAnsi" w:cs="Arial"/>
          <w:sz w:val="22"/>
          <w:szCs w:val="22"/>
        </w:rPr>
        <w:t>was made under the </w:t>
      </w:r>
      <w:r w:rsidRPr="004E6459">
        <w:rPr>
          <w:rStyle w:val="Emphasis"/>
          <w:rFonts w:asciiTheme="minorHAnsi" w:hAnsiTheme="minorHAnsi" w:cs="Arial"/>
          <w:sz w:val="22"/>
          <w:szCs w:val="22"/>
        </w:rPr>
        <w:t>Education and Training Reform Act 2006 </w:t>
      </w:r>
      <w:r w:rsidRPr="004E6459">
        <w:rPr>
          <w:rFonts w:asciiTheme="minorHAnsi" w:hAnsiTheme="minorHAnsi" w:cs="Arial"/>
          <w:sz w:val="22"/>
          <w:szCs w:val="22"/>
        </w:rPr>
        <w:t>(Vic.) and sets out the specific actions that all Victorian schools must take to meet the requirements in the Child Safe Standards for registration.</w:t>
      </w:r>
    </w:p>
    <w:p w14:paraId="70C414CB" w14:textId="77777777" w:rsidR="00082BB1" w:rsidRDefault="00E820D9" w:rsidP="00082BB1">
      <w:pPr>
        <w:pStyle w:val="NormalWeb"/>
        <w:shd w:val="clear" w:color="auto" w:fill="FFFFFF" w:themeFill="background1"/>
        <w:spacing w:before="0" w:beforeAutospacing="0" w:after="160" w:afterAutospacing="0"/>
        <w:jc w:val="both"/>
        <w:rPr>
          <w:rFonts w:asciiTheme="minorHAnsi" w:hAnsiTheme="minorHAnsi" w:cs="Arial"/>
          <w:sz w:val="22"/>
          <w:szCs w:val="22"/>
        </w:rPr>
      </w:pPr>
      <w:r w:rsidRPr="004E6459">
        <w:rPr>
          <w:rFonts w:asciiTheme="minorHAnsi" w:hAnsiTheme="minorHAnsi" w:cs="Arial"/>
          <w:sz w:val="22"/>
          <w:szCs w:val="22"/>
        </w:rPr>
        <w:t xml:space="preserve">This policy is designed to enable </w:t>
      </w:r>
      <w:r w:rsidR="00430A82" w:rsidRPr="004E6459">
        <w:rPr>
          <w:rFonts w:asciiTheme="minorHAnsi" w:hAnsiTheme="minorHAnsi" w:cs="Arial"/>
          <w:sz w:val="22"/>
          <w:szCs w:val="22"/>
        </w:rPr>
        <w:t xml:space="preserve">DOBCEL </w:t>
      </w:r>
      <w:r w:rsidRPr="004E6459">
        <w:rPr>
          <w:rFonts w:asciiTheme="minorHAnsi" w:hAnsiTheme="minorHAnsi" w:cs="Arial"/>
          <w:sz w:val="22"/>
          <w:szCs w:val="22"/>
        </w:rPr>
        <w:t xml:space="preserve">schools to comply with Standard 5 of the Victorian Child Safe Standards: processes for responding to and reporting suspected child abuse, </w:t>
      </w:r>
      <w:r w:rsidR="42CF1862" w:rsidRPr="004E6459">
        <w:rPr>
          <w:rFonts w:asciiTheme="minorHAnsi" w:hAnsiTheme="minorHAnsi" w:cs="Arial"/>
          <w:sz w:val="22"/>
          <w:szCs w:val="22"/>
        </w:rPr>
        <w:t>how to respond if they suspect or a</w:t>
      </w:r>
      <w:r w:rsidR="1E67E660" w:rsidRPr="004E6459">
        <w:rPr>
          <w:rFonts w:asciiTheme="minorHAnsi" w:hAnsiTheme="minorHAnsi" w:cs="Arial"/>
          <w:sz w:val="22"/>
          <w:szCs w:val="22"/>
        </w:rPr>
        <w:t>re</w:t>
      </w:r>
      <w:r w:rsidR="42CF1862" w:rsidRPr="004E6459">
        <w:rPr>
          <w:rFonts w:asciiTheme="minorHAnsi" w:hAnsiTheme="minorHAnsi" w:cs="Arial"/>
          <w:sz w:val="22"/>
          <w:szCs w:val="22"/>
        </w:rPr>
        <w:t xml:space="preserve"> witness to a student sexual offen</w:t>
      </w:r>
      <w:r w:rsidR="36040989" w:rsidRPr="004E6459">
        <w:rPr>
          <w:rFonts w:asciiTheme="minorHAnsi" w:hAnsiTheme="minorHAnsi" w:cs="Arial"/>
          <w:sz w:val="22"/>
          <w:szCs w:val="22"/>
        </w:rPr>
        <w:t xml:space="preserve">ding </w:t>
      </w:r>
      <w:r w:rsidRPr="004E6459">
        <w:rPr>
          <w:rFonts w:asciiTheme="minorHAnsi" w:hAnsiTheme="minorHAnsi" w:cs="Arial"/>
          <w:sz w:val="22"/>
          <w:szCs w:val="22"/>
        </w:rPr>
        <w:t>as well as the school-specific requirements for procedures for responding to allegations of suspected abuse in Ministerial Order No. 870. All procedures for reporting and responding to an incident of child abuse are designed and implemented by taking into account the diverse characteristics of school communities.</w:t>
      </w:r>
      <w:r w:rsidR="004E6459">
        <w:rPr>
          <w:rFonts w:asciiTheme="minorHAnsi" w:hAnsiTheme="minorHAnsi" w:cs="Arial"/>
          <w:sz w:val="22"/>
          <w:szCs w:val="22"/>
        </w:rPr>
        <w:t xml:space="preserve"> </w:t>
      </w:r>
    </w:p>
    <w:p w14:paraId="16193601" w14:textId="77777777" w:rsidR="00082BB1" w:rsidRDefault="00E820D9" w:rsidP="00082BB1">
      <w:pPr>
        <w:pStyle w:val="NormalWeb"/>
        <w:shd w:val="clear" w:color="auto" w:fill="FFFFFF" w:themeFill="background1"/>
        <w:spacing w:before="0" w:beforeAutospacing="0" w:after="160" w:afterAutospacing="0"/>
        <w:jc w:val="both"/>
        <w:rPr>
          <w:rFonts w:asciiTheme="minorHAnsi" w:hAnsiTheme="minorHAnsi" w:cs="Arial"/>
          <w:sz w:val="22"/>
          <w:szCs w:val="22"/>
        </w:rPr>
      </w:pPr>
      <w:r w:rsidRPr="004E6459">
        <w:rPr>
          <w:rFonts w:asciiTheme="minorHAnsi" w:hAnsiTheme="minorHAnsi" w:cs="Arial"/>
          <w:sz w:val="22"/>
          <w:szCs w:val="22"/>
        </w:rPr>
        <w:t>Actions required under the relevant legislation and regulatory guidance when there is a reasonable belief that a child</w:t>
      </w:r>
      <w:r w:rsidR="38507456" w:rsidRPr="004E6459">
        <w:rPr>
          <w:rFonts w:asciiTheme="minorHAnsi" w:hAnsiTheme="minorHAnsi" w:cs="Arial"/>
          <w:sz w:val="22"/>
          <w:szCs w:val="22"/>
        </w:rPr>
        <w:t xml:space="preserve"> or young person</w:t>
      </w:r>
      <w:r w:rsidRPr="004E6459">
        <w:rPr>
          <w:rFonts w:asciiTheme="minorHAnsi" w:hAnsiTheme="minorHAnsi" w:cs="Arial"/>
          <w:sz w:val="22"/>
          <w:szCs w:val="22"/>
        </w:rPr>
        <w:t xml:space="preserve"> is in need of protection or a criminal offence has been committed are set out in this policy. It also provides guidance and procedures on how to make a report.</w:t>
      </w:r>
    </w:p>
    <w:p w14:paraId="145D66BB" w14:textId="49F6A4B3" w:rsidR="00E820D9" w:rsidRPr="004E6459" w:rsidRDefault="00E820D9" w:rsidP="00082BB1">
      <w:pPr>
        <w:pStyle w:val="NormalWeb"/>
        <w:shd w:val="clear" w:color="auto" w:fill="FFFFFF" w:themeFill="background1"/>
        <w:spacing w:before="0" w:beforeAutospacing="0" w:after="160" w:afterAutospacing="0"/>
        <w:jc w:val="both"/>
        <w:rPr>
          <w:rFonts w:asciiTheme="minorHAnsi" w:hAnsiTheme="minorHAnsi" w:cs="Arial"/>
          <w:sz w:val="22"/>
          <w:szCs w:val="22"/>
        </w:rPr>
      </w:pPr>
      <w:r w:rsidRPr="004E6459">
        <w:rPr>
          <w:rFonts w:asciiTheme="minorHAnsi" w:hAnsiTheme="minorHAnsi" w:cs="Arial"/>
          <w:sz w:val="22"/>
          <w:szCs w:val="22"/>
        </w:rPr>
        <w:t xml:space="preserve">This policy assists </w:t>
      </w:r>
      <w:r w:rsidR="00430A82" w:rsidRPr="004E6459">
        <w:rPr>
          <w:rFonts w:asciiTheme="minorHAnsi" w:hAnsiTheme="minorHAnsi" w:cs="Arial"/>
          <w:sz w:val="22"/>
          <w:szCs w:val="22"/>
        </w:rPr>
        <w:t>all</w:t>
      </w:r>
      <w:r w:rsidRPr="004E6459">
        <w:rPr>
          <w:rFonts w:asciiTheme="minorHAnsi" w:hAnsiTheme="minorHAnsi" w:cs="Arial"/>
          <w:sz w:val="22"/>
          <w:szCs w:val="22"/>
        </w:rPr>
        <w:t xml:space="preserve"> staff (which includes volunteers, contractors, other service providers and religious leaders including clergy) to:</w:t>
      </w:r>
    </w:p>
    <w:p w14:paraId="5E3ADE56" w14:textId="77777777" w:rsidR="00E820D9" w:rsidRPr="004E6459" w:rsidRDefault="00E820D9" w:rsidP="00082BB1">
      <w:pPr>
        <w:numPr>
          <w:ilvl w:val="0"/>
          <w:numId w:val="1"/>
        </w:numPr>
        <w:shd w:val="clear" w:color="auto" w:fill="FFFFFF"/>
        <w:spacing w:before="60" w:after="0" w:line="240" w:lineRule="auto"/>
        <w:ind w:left="714" w:hanging="357"/>
        <w:jc w:val="both"/>
        <w:rPr>
          <w:rFonts w:cs="Arial"/>
        </w:rPr>
      </w:pPr>
      <w:r w:rsidRPr="004E6459">
        <w:rPr>
          <w:rFonts w:cs="Arial"/>
        </w:rPr>
        <w:t>identify the indicators of a child or young person who may be in need of protection</w:t>
      </w:r>
    </w:p>
    <w:p w14:paraId="1370713F" w14:textId="77777777" w:rsidR="00E820D9" w:rsidRPr="004E6459" w:rsidRDefault="00E820D9" w:rsidP="00082BB1">
      <w:pPr>
        <w:numPr>
          <w:ilvl w:val="0"/>
          <w:numId w:val="1"/>
        </w:numPr>
        <w:shd w:val="clear" w:color="auto" w:fill="FFFFFF"/>
        <w:spacing w:before="60" w:after="0" w:line="240" w:lineRule="auto"/>
        <w:ind w:left="714" w:hanging="357"/>
        <w:jc w:val="both"/>
        <w:rPr>
          <w:rFonts w:cs="Arial"/>
        </w:rPr>
      </w:pPr>
      <w:r w:rsidRPr="004E6459">
        <w:rPr>
          <w:rFonts w:cs="Arial"/>
        </w:rPr>
        <w:t>understand how a ‘suspicion’ or ‘reasonable belief’ is formed</w:t>
      </w:r>
    </w:p>
    <w:p w14:paraId="2471ED55" w14:textId="35F5232E" w:rsidR="6A5DC900" w:rsidRPr="004E6459" w:rsidRDefault="6A5DC900" w:rsidP="00082BB1">
      <w:pPr>
        <w:numPr>
          <w:ilvl w:val="0"/>
          <w:numId w:val="1"/>
        </w:numPr>
        <w:shd w:val="clear" w:color="auto" w:fill="FFFFFF" w:themeFill="background1"/>
        <w:spacing w:before="60" w:after="0" w:line="240" w:lineRule="auto"/>
        <w:ind w:left="714" w:hanging="357"/>
        <w:jc w:val="both"/>
      </w:pPr>
      <w:r w:rsidRPr="004E6459">
        <w:rPr>
          <w:rFonts w:cs="Arial"/>
        </w:rPr>
        <w:t>u</w:t>
      </w:r>
      <w:r w:rsidR="3734E4EE" w:rsidRPr="004E6459">
        <w:rPr>
          <w:rFonts w:cs="Arial"/>
        </w:rPr>
        <w:t>nderstand how to respond when an incident/allegation involves stud</w:t>
      </w:r>
      <w:r w:rsidR="1967D533" w:rsidRPr="004E6459">
        <w:rPr>
          <w:rFonts w:cs="Arial"/>
        </w:rPr>
        <w:t>ent sexual offending</w:t>
      </w:r>
    </w:p>
    <w:p w14:paraId="5BB535DB" w14:textId="77777777" w:rsidR="00E820D9" w:rsidRPr="004E6459" w:rsidRDefault="00E820D9" w:rsidP="00082BB1">
      <w:pPr>
        <w:numPr>
          <w:ilvl w:val="0"/>
          <w:numId w:val="1"/>
        </w:numPr>
        <w:shd w:val="clear" w:color="auto" w:fill="FFFFFF"/>
        <w:spacing w:before="60" w:after="0" w:line="240" w:lineRule="auto"/>
        <w:ind w:left="714" w:hanging="357"/>
        <w:jc w:val="both"/>
        <w:rPr>
          <w:rFonts w:cs="Arial"/>
        </w:rPr>
      </w:pPr>
      <w:r w:rsidRPr="004E6459">
        <w:rPr>
          <w:rFonts w:cs="Arial"/>
        </w:rPr>
        <w:t>where possible, refer to the principles of the Victorian Charter of Human Rights and Responsibilities as best practice in respecting and protecting the basic rights, freedoms and responsibilities of members of the school community</w:t>
      </w:r>
    </w:p>
    <w:p w14:paraId="51E006B2" w14:textId="77777777" w:rsidR="00E820D9" w:rsidRPr="004E6459" w:rsidRDefault="00E820D9" w:rsidP="00082BB1">
      <w:pPr>
        <w:numPr>
          <w:ilvl w:val="0"/>
          <w:numId w:val="1"/>
        </w:numPr>
        <w:shd w:val="clear" w:color="auto" w:fill="FFFFFF"/>
        <w:spacing w:before="60" w:after="0" w:line="240" w:lineRule="auto"/>
        <w:ind w:left="714" w:hanging="357"/>
        <w:jc w:val="both"/>
        <w:rPr>
          <w:rFonts w:cs="Arial"/>
        </w:rPr>
      </w:pPr>
      <w:r w:rsidRPr="004E6459">
        <w:rPr>
          <w:rFonts w:cs="Arial"/>
        </w:rPr>
        <w:t>make a report about a child or young person who may be in need of protection</w:t>
      </w:r>
    </w:p>
    <w:p w14:paraId="1A6DC956" w14:textId="77777777" w:rsidR="00E820D9" w:rsidRPr="004E6459" w:rsidRDefault="00E820D9" w:rsidP="00082BB1">
      <w:pPr>
        <w:numPr>
          <w:ilvl w:val="0"/>
          <w:numId w:val="1"/>
        </w:numPr>
        <w:shd w:val="clear" w:color="auto" w:fill="FFFFFF"/>
        <w:spacing w:before="60" w:after="0" w:line="240" w:lineRule="auto"/>
        <w:ind w:left="714" w:hanging="357"/>
        <w:jc w:val="both"/>
        <w:rPr>
          <w:rFonts w:cs="Arial"/>
        </w:rPr>
      </w:pPr>
      <w:r w:rsidRPr="004E6459">
        <w:rPr>
          <w:rFonts w:cs="Arial"/>
        </w:rPr>
        <w:t>comply with obligations under the Victorian Reportable Conduct Scheme</w:t>
      </w:r>
    </w:p>
    <w:p w14:paraId="00D1A696" w14:textId="77777777" w:rsidR="00E820D9" w:rsidRPr="004E6459" w:rsidRDefault="00E820D9" w:rsidP="00082BB1">
      <w:pPr>
        <w:numPr>
          <w:ilvl w:val="0"/>
          <w:numId w:val="1"/>
        </w:numPr>
        <w:shd w:val="clear" w:color="auto" w:fill="FFFFFF"/>
        <w:spacing w:before="60" w:after="0" w:line="240" w:lineRule="auto"/>
        <w:ind w:left="714" w:hanging="357"/>
        <w:jc w:val="both"/>
        <w:rPr>
          <w:rFonts w:cs="Arial"/>
        </w:rPr>
      </w:pPr>
      <w:r w:rsidRPr="004E6459">
        <w:rPr>
          <w:rFonts w:cs="Arial"/>
        </w:rPr>
        <w:t>comply with mandatory reporting obligations under child protection law</w:t>
      </w:r>
    </w:p>
    <w:p w14:paraId="7688A27D" w14:textId="0518D558" w:rsidR="00E820D9" w:rsidRDefault="00E820D9" w:rsidP="00082BB1">
      <w:pPr>
        <w:numPr>
          <w:ilvl w:val="0"/>
          <w:numId w:val="1"/>
        </w:numPr>
        <w:shd w:val="clear" w:color="auto" w:fill="FFFFFF"/>
        <w:spacing w:before="60" w:after="0" w:line="240" w:lineRule="auto"/>
        <w:ind w:left="714" w:hanging="357"/>
        <w:jc w:val="both"/>
        <w:rPr>
          <w:rFonts w:cs="Arial"/>
        </w:rPr>
      </w:pPr>
      <w:r w:rsidRPr="004E6459">
        <w:rPr>
          <w:rFonts w:cs="Arial"/>
        </w:rPr>
        <w:t>comply with legal obligations relating to criminal child abuse and grooming under criminal law.</w:t>
      </w:r>
    </w:p>
    <w:p w14:paraId="24BD3B61" w14:textId="0A9BCABD" w:rsidR="00082BB1" w:rsidRDefault="00082BB1" w:rsidP="00082BB1">
      <w:pPr>
        <w:shd w:val="clear" w:color="auto" w:fill="FFFFFF"/>
        <w:spacing w:after="0" w:line="240" w:lineRule="auto"/>
        <w:jc w:val="both"/>
        <w:rPr>
          <w:rFonts w:cs="Arial"/>
        </w:rPr>
      </w:pPr>
    </w:p>
    <w:p w14:paraId="15BD679D" w14:textId="77777777" w:rsidR="00082BB1" w:rsidRPr="004E6459" w:rsidRDefault="00082BB1" w:rsidP="00082BB1">
      <w:pPr>
        <w:shd w:val="clear" w:color="auto" w:fill="FFFFFF"/>
        <w:spacing w:after="0" w:line="240" w:lineRule="auto"/>
        <w:jc w:val="both"/>
        <w:rPr>
          <w:rFonts w:cs="Arial"/>
        </w:rPr>
      </w:pPr>
    </w:p>
    <w:p w14:paraId="72CE7F17" w14:textId="77777777" w:rsidR="00E820D9" w:rsidRPr="00EF4A72" w:rsidRDefault="00E820D9" w:rsidP="00082BB1">
      <w:pPr>
        <w:pStyle w:val="Heading1"/>
        <w:spacing w:before="0"/>
        <w:jc w:val="both"/>
        <w:rPr>
          <w:color w:val="391B76"/>
        </w:rPr>
      </w:pPr>
      <w:r w:rsidRPr="00EF4A72">
        <w:rPr>
          <w:rStyle w:val="Strong"/>
          <w:bCs w:val="0"/>
          <w:color w:val="391B76"/>
        </w:rPr>
        <w:t>Legislative and Regulatory Requirements</w:t>
      </w:r>
    </w:p>
    <w:p w14:paraId="0FFD9DFF" w14:textId="77777777" w:rsidR="00082BB1" w:rsidRDefault="00E820D9" w:rsidP="00082BB1">
      <w:pPr>
        <w:spacing w:before="60"/>
        <w:jc w:val="both"/>
        <w:rPr>
          <w:rFonts w:cs="Arial"/>
          <w:shd w:val="clear" w:color="auto" w:fill="FFFFFF"/>
        </w:rPr>
      </w:pPr>
      <w:r w:rsidRPr="004E6459">
        <w:rPr>
          <w:rFonts w:cs="Arial"/>
          <w:shd w:val="clear" w:color="auto" w:fill="FFFFFF"/>
        </w:rPr>
        <w:t>Schools must comply with the legal obligations that relate to managing the risk of child abuse under the </w:t>
      </w:r>
      <w:r w:rsidRPr="004E6459">
        <w:rPr>
          <w:rStyle w:val="Emphasis"/>
          <w:rFonts w:cs="Arial"/>
          <w:shd w:val="clear" w:color="auto" w:fill="FFFFFF"/>
        </w:rPr>
        <w:t>Children, Youth and Families Act 2005 </w:t>
      </w:r>
      <w:r w:rsidRPr="004E6459">
        <w:rPr>
          <w:rFonts w:cs="Arial"/>
          <w:shd w:val="clear" w:color="auto" w:fill="FFFFFF"/>
        </w:rPr>
        <w:t>(Vic.), the </w:t>
      </w:r>
      <w:r w:rsidRPr="004E6459">
        <w:rPr>
          <w:rStyle w:val="Emphasis"/>
          <w:rFonts w:cs="Arial"/>
          <w:shd w:val="clear" w:color="auto" w:fill="FFFFFF"/>
        </w:rPr>
        <w:t>Crimes Act 1958 </w:t>
      </w:r>
      <w:r w:rsidRPr="004E6459">
        <w:rPr>
          <w:rFonts w:cs="Arial"/>
          <w:shd w:val="clear" w:color="auto" w:fill="FFFFFF"/>
        </w:rPr>
        <w:t>(Vic.), the </w:t>
      </w:r>
      <w:r w:rsidRPr="004E6459">
        <w:rPr>
          <w:rStyle w:val="Emphasis"/>
          <w:rFonts w:cs="Arial"/>
          <w:shd w:val="clear" w:color="auto" w:fill="FFFFFF"/>
        </w:rPr>
        <w:t>Child Wellbeing and Safety Act 2005 </w:t>
      </w:r>
      <w:r w:rsidRPr="004E6459">
        <w:rPr>
          <w:rFonts w:cs="Arial"/>
          <w:shd w:val="clear" w:color="auto" w:fill="FFFFFF"/>
        </w:rPr>
        <w:t>(Vic.), the </w:t>
      </w:r>
      <w:r w:rsidRPr="004E6459">
        <w:rPr>
          <w:rStyle w:val="Emphasis"/>
          <w:rFonts w:cs="Arial"/>
          <w:shd w:val="clear" w:color="auto" w:fill="FFFFFF"/>
        </w:rPr>
        <w:t>Education and Training Reform Act 2006 </w:t>
      </w:r>
      <w:r w:rsidRPr="004E6459">
        <w:rPr>
          <w:rFonts w:cs="Arial"/>
          <w:shd w:val="clear" w:color="auto" w:fill="FFFFFF"/>
        </w:rPr>
        <w:t>(Vic.) and the </w:t>
      </w:r>
      <w:r w:rsidRPr="004E6459">
        <w:rPr>
          <w:rStyle w:val="Emphasis"/>
          <w:rFonts w:cs="Arial"/>
          <w:shd w:val="clear" w:color="auto" w:fill="FFFFFF"/>
        </w:rPr>
        <w:t>Family Violence Protection Act 2008 </w:t>
      </w:r>
      <w:r w:rsidRPr="004E6459">
        <w:rPr>
          <w:rFonts w:cs="Arial"/>
          <w:shd w:val="clear" w:color="auto" w:fill="FFFFFF"/>
        </w:rPr>
        <w:t>(Vic.).</w:t>
      </w:r>
    </w:p>
    <w:p w14:paraId="3122F95A" w14:textId="235F0989" w:rsidR="00E820D9" w:rsidRPr="004E6459" w:rsidRDefault="00E820D9" w:rsidP="00082BB1">
      <w:pPr>
        <w:jc w:val="both"/>
        <w:rPr>
          <w:rFonts w:cs="Times New Roman"/>
        </w:rPr>
      </w:pPr>
      <w:r w:rsidRPr="004E6459">
        <w:rPr>
          <w:rFonts w:cs="Arial"/>
          <w:shd w:val="clear" w:color="auto" w:fill="FFFFFF"/>
        </w:rPr>
        <w:t>The </w:t>
      </w:r>
      <w:r w:rsidRPr="004E6459">
        <w:rPr>
          <w:rStyle w:val="Emphasis"/>
          <w:rFonts w:cs="Arial"/>
          <w:shd w:val="clear" w:color="auto" w:fill="FFFFFF"/>
        </w:rPr>
        <w:t>Child Wellbeing and Safety Act 2005 </w:t>
      </w:r>
      <w:r w:rsidRPr="004E6459">
        <w:rPr>
          <w:rFonts w:cs="Arial"/>
          <w:shd w:val="clear" w:color="auto" w:fill="FFFFFF"/>
        </w:rPr>
        <w:t xml:space="preserve">(Vic.) introduced the seven Victorian Child Safe Standards, which aim to create a culture where protecting </w:t>
      </w:r>
      <w:r w:rsidR="797A8558" w:rsidRPr="004E6459">
        <w:rPr>
          <w:rFonts w:cs="Arial"/>
        </w:rPr>
        <w:t xml:space="preserve">children and young people </w:t>
      </w:r>
      <w:r w:rsidRPr="004E6459">
        <w:rPr>
          <w:rFonts w:cs="Arial"/>
          <w:shd w:val="clear" w:color="auto" w:fill="FFFFFF"/>
        </w:rPr>
        <w:t xml:space="preserve">from abuse is part of </w:t>
      </w:r>
      <w:r w:rsidRPr="004E6459">
        <w:rPr>
          <w:rFonts w:cs="Arial"/>
          <w:shd w:val="clear" w:color="auto" w:fill="FFFFFF"/>
        </w:rPr>
        <w:lastRenderedPageBreak/>
        <w:t>everyday thinking and practice. The Child Safe Standards were introduced in response to recommendations made by the </w:t>
      </w:r>
      <w:hyperlink r:id="rId16" w:tgtFrame="_blank" w:history="1">
        <w:r w:rsidRPr="004E6459">
          <w:rPr>
            <w:rStyle w:val="Emphasis"/>
            <w:rFonts w:cs="Arial"/>
            <w:shd w:val="clear" w:color="auto" w:fill="FFFFFF"/>
          </w:rPr>
          <w:t>Betrayal of Trust</w:t>
        </w:r>
      </w:hyperlink>
      <w:r w:rsidRPr="004E6459">
        <w:rPr>
          <w:rFonts w:cs="Arial"/>
          <w:shd w:val="clear" w:color="auto" w:fill="FFFFFF"/>
        </w:rPr>
        <w:t> report.</w:t>
      </w:r>
    </w:p>
    <w:p w14:paraId="77F5DBEE" w14:textId="77777777" w:rsidR="00082BB1" w:rsidRPr="00082BB1" w:rsidRDefault="03A883A6" w:rsidP="00082BB1">
      <w:pPr>
        <w:jc w:val="both"/>
        <w:rPr>
          <w:rFonts w:eastAsiaTheme="minorEastAsia"/>
        </w:rPr>
      </w:pPr>
      <w:r w:rsidRPr="004E6459">
        <w:t>The Commission for Children and Young People</w:t>
      </w:r>
      <w:r w:rsidR="629CAD3D" w:rsidRPr="004E6459">
        <w:t xml:space="preserve"> (CCYP)</w:t>
      </w:r>
      <w:r w:rsidRPr="004E6459">
        <w:t xml:space="preserve"> </w:t>
      </w:r>
      <w:r w:rsidR="7471E128" w:rsidRPr="004E6459">
        <w:t>is</w:t>
      </w:r>
      <w:r w:rsidR="7471E128" w:rsidRPr="004E6459">
        <w:rPr>
          <w:rFonts w:eastAsiaTheme="minorEastAsia"/>
        </w:rPr>
        <w:t xml:space="preserve"> an independent statutory body that promotes improvement in policies and practices affecting the safety and wellbeing of Victorian children and young people. </w:t>
      </w:r>
      <w:r w:rsidR="7F11729E" w:rsidRPr="004E6459">
        <w:rPr>
          <w:rFonts w:eastAsiaTheme="minorEastAsia"/>
        </w:rPr>
        <w:t>The CCYP</w:t>
      </w:r>
      <w:r w:rsidR="7471E128" w:rsidRPr="004E6459">
        <w:rPr>
          <w:rFonts w:eastAsiaTheme="minorEastAsia"/>
        </w:rPr>
        <w:t xml:space="preserve"> have a particular focus on vulnerable children and young people</w:t>
      </w:r>
      <w:r w:rsidR="3DEFDA0E" w:rsidRPr="004E6459">
        <w:rPr>
          <w:rFonts w:eastAsiaTheme="minorEastAsia"/>
        </w:rPr>
        <w:t xml:space="preserve"> and responsible for administering the Victorian Reportable Conduct Scheme</w:t>
      </w:r>
      <w:r w:rsidR="09782740" w:rsidRPr="004E6459">
        <w:rPr>
          <w:rFonts w:eastAsiaTheme="minorEastAsia"/>
        </w:rPr>
        <w:t xml:space="preserve"> (RCS). The RCS</w:t>
      </w:r>
      <w:r w:rsidR="09782740" w:rsidRPr="004E6459">
        <w:rPr>
          <w:rFonts w:eastAsiaTheme="minorEastAsia"/>
          <w:sz w:val="31"/>
          <w:szCs w:val="31"/>
        </w:rPr>
        <w:t xml:space="preserve"> </w:t>
      </w:r>
      <w:r w:rsidR="09782740" w:rsidRPr="004E6459">
        <w:rPr>
          <w:rFonts w:eastAsiaTheme="minorEastAsia"/>
        </w:rPr>
        <w:t xml:space="preserve">seeks to improve organisations’ responses to allegations of child abuse and neglect by their workers and volunteers. The scheme is established by the </w:t>
      </w:r>
      <w:r w:rsidR="09782740" w:rsidRPr="004E6459">
        <w:rPr>
          <w:rFonts w:eastAsiaTheme="minorEastAsia"/>
          <w:i/>
          <w:iCs/>
        </w:rPr>
        <w:t xml:space="preserve">Child Wellbeing and Safety Act 2005 </w:t>
      </w:r>
      <w:r w:rsidR="09782740" w:rsidRPr="004E6459">
        <w:rPr>
          <w:rFonts w:eastAsiaTheme="minorEastAsia"/>
        </w:rPr>
        <w:t>(</w:t>
      </w:r>
      <w:r w:rsidR="09782740" w:rsidRPr="00082BB1">
        <w:rPr>
          <w:rFonts w:eastAsiaTheme="minorEastAsia"/>
        </w:rPr>
        <w:t>the Act).</w:t>
      </w:r>
    </w:p>
    <w:p w14:paraId="76EE82AC" w14:textId="2E185EB4" w:rsidR="00E820D9" w:rsidRPr="00082BB1" w:rsidRDefault="00E820D9" w:rsidP="00082BB1">
      <w:pPr>
        <w:spacing w:after="0"/>
        <w:jc w:val="both"/>
        <w:rPr>
          <w:rFonts w:eastAsiaTheme="minorEastAsia"/>
          <w:i/>
          <w:iCs/>
        </w:rPr>
      </w:pPr>
      <w:r w:rsidRPr="00082BB1">
        <w:rPr>
          <w:rFonts w:cs="Arial"/>
          <w:shd w:val="clear" w:color="auto" w:fill="FFFFFF"/>
        </w:rPr>
        <w:t>Child protection reporting obligations for Catholic schools fall under five separate piece</w:t>
      </w:r>
      <w:r w:rsidRPr="004E6459">
        <w:rPr>
          <w:rFonts w:cs="Arial"/>
          <w:shd w:val="clear" w:color="auto" w:fill="FFFFFF"/>
        </w:rPr>
        <w:t>s of legislation with differing reporting requirements:</w:t>
      </w:r>
    </w:p>
    <w:p w14:paraId="37180149" w14:textId="77777777" w:rsidR="00E820D9" w:rsidRPr="004E6459" w:rsidRDefault="00E820D9" w:rsidP="00082BB1">
      <w:pPr>
        <w:numPr>
          <w:ilvl w:val="0"/>
          <w:numId w:val="2"/>
        </w:numPr>
        <w:shd w:val="clear" w:color="auto" w:fill="FFFFFF"/>
        <w:spacing w:before="60" w:after="0" w:line="240" w:lineRule="auto"/>
        <w:ind w:left="714" w:hanging="357"/>
        <w:jc w:val="both"/>
        <w:rPr>
          <w:rFonts w:cs="Arial"/>
        </w:rPr>
      </w:pPr>
      <w:r w:rsidRPr="004E6459">
        <w:rPr>
          <w:rFonts w:cs="Arial"/>
        </w:rPr>
        <w:t>the </w:t>
      </w:r>
      <w:r w:rsidRPr="004E6459">
        <w:rPr>
          <w:rStyle w:val="Emphasis"/>
          <w:rFonts w:cs="Arial"/>
        </w:rPr>
        <w:t>Children, Youth and Families Act 2005 </w:t>
      </w:r>
      <w:r w:rsidRPr="004E6459">
        <w:rPr>
          <w:rFonts w:cs="Arial"/>
        </w:rPr>
        <w:t>(Vic.)</w:t>
      </w:r>
    </w:p>
    <w:p w14:paraId="2EF630A7" w14:textId="77777777" w:rsidR="00E820D9" w:rsidRPr="004E6459" w:rsidRDefault="00E820D9" w:rsidP="00082BB1">
      <w:pPr>
        <w:numPr>
          <w:ilvl w:val="0"/>
          <w:numId w:val="2"/>
        </w:numPr>
        <w:shd w:val="clear" w:color="auto" w:fill="FFFFFF"/>
        <w:spacing w:before="60" w:after="0" w:line="240" w:lineRule="auto"/>
        <w:ind w:left="714" w:hanging="357"/>
        <w:jc w:val="both"/>
        <w:rPr>
          <w:rFonts w:cs="Arial"/>
        </w:rPr>
      </w:pPr>
      <w:r w:rsidRPr="004E6459">
        <w:rPr>
          <w:rFonts w:cs="Arial"/>
        </w:rPr>
        <w:t>the </w:t>
      </w:r>
      <w:r w:rsidRPr="004E6459">
        <w:rPr>
          <w:rStyle w:val="Emphasis"/>
          <w:rFonts w:cs="Arial"/>
        </w:rPr>
        <w:t>Education and Training Reform Act 2006 </w:t>
      </w:r>
      <w:r w:rsidRPr="004E6459">
        <w:rPr>
          <w:rFonts w:cs="Arial"/>
        </w:rPr>
        <w:t>(Vic.)</w:t>
      </w:r>
    </w:p>
    <w:p w14:paraId="35B5360F" w14:textId="77777777" w:rsidR="00E820D9" w:rsidRPr="004E6459" w:rsidRDefault="00E820D9" w:rsidP="00082BB1">
      <w:pPr>
        <w:numPr>
          <w:ilvl w:val="0"/>
          <w:numId w:val="2"/>
        </w:numPr>
        <w:shd w:val="clear" w:color="auto" w:fill="FFFFFF"/>
        <w:spacing w:before="60" w:after="0" w:line="240" w:lineRule="auto"/>
        <w:ind w:left="714" w:hanging="357"/>
        <w:jc w:val="both"/>
        <w:rPr>
          <w:rFonts w:cs="Arial"/>
        </w:rPr>
      </w:pPr>
      <w:r w:rsidRPr="004E6459">
        <w:rPr>
          <w:rFonts w:cs="Arial"/>
        </w:rPr>
        <w:t>the </w:t>
      </w:r>
      <w:r w:rsidRPr="004E6459">
        <w:rPr>
          <w:rStyle w:val="Emphasis"/>
          <w:rFonts w:cs="Arial"/>
        </w:rPr>
        <w:t>Crimes Act 1958 </w:t>
      </w:r>
      <w:r w:rsidRPr="004E6459">
        <w:rPr>
          <w:rFonts w:cs="Arial"/>
        </w:rPr>
        <w:t>(Vic.)</w:t>
      </w:r>
    </w:p>
    <w:p w14:paraId="03E7AA8E" w14:textId="77777777" w:rsidR="00E820D9" w:rsidRPr="004E6459" w:rsidRDefault="00E820D9" w:rsidP="00082BB1">
      <w:pPr>
        <w:numPr>
          <w:ilvl w:val="0"/>
          <w:numId w:val="2"/>
        </w:numPr>
        <w:shd w:val="clear" w:color="auto" w:fill="FFFFFF"/>
        <w:spacing w:before="60" w:after="0" w:line="240" w:lineRule="auto"/>
        <w:ind w:left="714" w:hanging="357"/>
        <w:jc w:val="both"/>
        <w:rPr>
          <w:rFonts w:cs="Arial"/>
        </w:rPr>
      </w:pPr>
      <w:r w:rsidRPr="004E6459">
        <w:rPr>
          <w:rFonts w:cs="Arial"/>
        </w:rPr>
        <w:t>the </w:t>
      </w:r>
      <w:r w:rsidRPr="004E6459">
        <w:rPr>
          <w:rStyle w:val="Emphasis"/>
          <w:rFonts w:cs="Arial"/>
        </w:rPr>
        <w:t>Family Violence Protection Act 2008 </w:t>
      </w:r>
      <w:r w:rsidRPr="004E6459">
        <w:rPr>
          <w:rFonts w:cs="Arial"/>
        </w:rPr>
        <w:t>(Vic.)</w:t>
      </w:r>
    </w:p>
    <w:p w14:paraId="6986B98A" w14:textId="77777777" w:rsidR="00E820D9" w:rsidRPr="004E6459" w:rsidRDefault="00E820D9" w:rsidP="00082BB1">
      <w:pPr>
        <w:numPr>
          <w:ilvl w:val="0"/>
          <w:numId w:val="2"/>
        </w:numPr>
        <w:shd w:val="clear" w:color="auto" w:fill="FFFFFF"/>
        <w:spacing w:before="60" w:after="0" w:line="240" w:lineRule="auto"/>
        <w:ind w:left="714" w:hanging="357"/>
        <w:jc w:val="both"/>
        <w:rPr>
          <w:rFonts w:cs="Arial"/>
        </w:rPr>
      </w:pPr>
      <w:r w:rsidRPr="004E6459">
        <w:rPr>
          <w:rFonts w:cs="Arial"/>
        </w:rPr>
        <w:t>the </w:t>
      </w:r>
      <w:r w:rsidRPr="004E6459">
        <w:rPr>
          <w:rStyle w:val="Emphasis"/>
          <w:rFonts w:cs="Arial"/>
        </w:rPr>
        <w:t>Wrongs Act 1958</w:t>
      </w:r>
      <w:r w:rsidRPr="004E6459">
        <w:rPr>
          <w:rFonts w:cs="Arial"/>
        </w:rPr>
        <w:t> (Vic.).</w:t>
      </w:r>
    </w:p>
    <w:p w14:paraId="7088C68F" w14:textId="64C162B3" w:rsidR="00E820D9" w:rsidRDefault="00E820D9" w:rsidP="00CA6BDB">
      <w:pPr>
        <w:spacing w:after="0" w:line="240" w:lineRule="auto"/>
        <w:jc w:val="both"/>
        <w:rPr>
          <w:rFonts w:cs="Arial"/>
          <w:color w:val="313131"/>
          <w:shd w:val="clear" w:color="auto" w:fill="FFFFFF"/>
        </w:rPr>
      </w:pPr>
    </w:p>
    <w:p w14:paraId="64FD4EB5" w14:textId="77777777" w:rsidR="00CA6BDB" w:rsidRPr="00390B2D" w:rsidRDefault="00CA6BDB" w:rsidP="00CA6BDB">
      <w:pPr>
        <w:spacing w:after="0" w:line="240" w:lineRule="auto"/>
        <w:jc w:val="both"/>
        <w:rPr>
          <w:rFonts w:cs="Times New Roman"/>
        </w:rPr>
      </w:pPr>
    </w:p>
    <w:p w14:paraId="4A365D93" w14:textId="77777777" w:rsidR="00E820D9" w:rsidRPr="00EF4A72" w:rsidRDefault="00E820D9" w:rsidP="00CA6BDB">
      <w:pPr>
        <w:pStyle w:val="Heading1"/>
        <w:spacing w:before="0"/>
        <w:jc w:val="both"/>
        <w:rPr>
          <w:color w:val="391B76"/>
        </w:rPr>
      </w:pPr>
      <w:r w:rsidRPr="00EF4A72">
        <w:rPr>
          <w:rStyle w:val="Strong"/>
          <w:bCs w:val="0"/>
          <w:color w:val="391B76"/>
        </w:rPr>
        <w:t>Definitions and Obligations</w:t>
      </w:r>
    </w:p>
    <w:p w14:paraId="399F31BB" w14:textId="6AD8AE4E" w:rsidR="00661E1A" w:rsidRDefault="00E820D9" w:rsidP="00457E2A">
      <w:pPr>
        <w:pStyle w:val="Heading6"/>
        <w:shd w:val="clear" w:color="auto" w:fill="FFFFFF"/>
        <w:spacing w:before="120" w:after="160"/>
        <w:jc w:val="both"/>
        <w:rPr>
          <w:rFonts w:asciiTheme="minorHAnsi" w:hAnsiTheme="minorHAnsi" w:cs="Arial"/>
          <w:b/>
          <w:bCs/>
          <w:color w:val="auto"/>
          <w:sz w:val="24"/>
          <w:szCs w:val="24"/>
        </w:rPr>
      </w:pPr>
      <w:r w:rsidRPr="00091606">
        <w:rPr>
          <w:rFonts w:asciiTheme="minorHAnsi" w:hAnsiTheme="minorHAnsi" w:cs="Arial"/>
          <w:b/>
          <w:bCs/>
          <w:color w:val="auto"/>
          <w:sz w:val="24"/>
          <w:szCs w:val="24"/>
        </w:rPr>
        <w:t>1. Types of Abuse and Indicators of Harm</w:t>
      </w:r>
    </w:p>
    <w:p w14:paraId="1388B54B" w14:textId="2878B407" w:rsidR="00CA6BDB" w:rsidRDefault="00E820D9" w:rsidP="00CA6BDB">
      <w:pPr>
        <w:pStyle w:val="NormalWeb"/>
        <w:shd w:val="clear" w:color="auto" w:fill="FFFFFF"/>
        <w:spacing w:before="0" w:beforeAutospacing="0" w:after="160" w:afterAutospacing="0"/>
        <w:jc w:val="both"/>
        <w:rPr>
          <w:rFonts w:asciiTheme="minorHAnsi" w:hAnsiTheme="minorHAnsi" w:cs="Arial"/>
          <w:color w:val="313131"/>
          <w:sz w:val="22"/>
          <w:szCs w:val="22"/>
        </w:rPr>
      </w:pPr>
      <w:r w:rsidRPr="00390B2D">
        <w:rPr>
          <w:rFonts w:asciiTheme="minorHAnsi" w:hAnsiTheme="minorHAnsi" w:cs="Arial"/>
          <w:color w:val="313131"/>
          <w:sz w:val="22"/>
          <w:szCs w:val="22"/>
        </w:rPr>
        <w:t>Child abuse can take many forms. The perpetrator may be a parent, carer, school staff member, volunteer, another adult or even another child. The nature of child abuse is complex. The abuse may occur over time and potential risk indicators are often difficult to detect. Therefore, the legal obligations for reporting allegations of child abuse can vary depending on the circumstances of the incident.</w:t>
      </w:r>
    </w:p>
    <w:p w14:paraId="6FE44E28" w14:textId="355185D9" w:rsidR="00E820D9" w:rsidRPr="00390B2D" w:rsidRDefault="00E820D9" w:rsidP="00CA6BDB">
      <w:pPr>
        <w:pStyle w:val="NormalWeb"/>
        <w:shd w:val="clear" w:color="auto" w:fill="FFFFFF"/>
        <w:spacing w:before="0" w:beforeAutospacing="0" w:after="0" w:afterAutospacing="0"/>
        <w:jc w:val="both"/>
        <w:rPr>
          <w:rFonts w:asciiTheme="minorHAnsi" w:hAnsiTheme="minorHAnsi" w:cs="Arial"/>
          <w:color w:val="313131"/>
          <w:sz w:val="22"/>
          <w:szCs w:val="22"/>
        </w:rPr>
      </w:pPr>
      <w:r w:rsidRPr="00390B2D">
        <w:rPr>
          <w:rFonts w:asciiTheme="minorHAnsi" w:hAnsiTheme="minorHAnsi" w:cs="Arial"/>
          <w:color w:val="313131"/>
          <w:sz w:val="22"/>
          <w:szCs w:val="22"/>
        </w:rPr>
        <w:t>Child abuse is defined in the </w:t>
      </w:r>
      <w:r w:rsidRPr="00390B2D">
        <w:rPr>
          <w:rStyle w:val="Emphasis"/>
          <w:rFonts w:asciiTheme="minorHAnsi" w:hAnsiTheme="minorHAnsi" w:cs="Arial"/>
          <w:color w:val="313131"/>
          <w:sz w:val="22"/>
          <w:szCs w:val="22"/>
        </w:rPr>
        <w:t>Child Wellbeing and Safety Act 2005 </w:t>
      </w:r>
      <w:r w:rsidRPr="00390B2D">
        <w:rPr>
          <w:rFonts w:asciiTheme="minorHAnsi" w:hAnsiTheme="minorHAnsi" w:cs="Arial"/>
          <w:color w:val="313131"/>
          <w:sz w:val="22"/>
          <w:szCs w:val="22"/>
        </w:rPr>
        <w:t>(Vic.) to include:</w:t>
      </w:r>
    </w:p>
    <w:p w14:paraId="249747FF" w14:textId="77777777" w:rsidR="00E820D9" w:rsidRPr="00390B2D" w:rsidRDefault="00E820D9" w:rsidP="00CA6BDB">
      <w:pPr>
        <w:numPr>
          <w:ilvl w:val="0"/>
          <w:numId w:val="3"/>
        </w:numPr>
        <w:shd w:val="clear" w:color="auto" w:fill="FFFFFF"/>
        <w:spacing w:before="60" w:after="0" w:line="240" w:lineRule="auto"/>
        <w:ind w:left="714" w:hanging="357"/>
        <w:jc w:val="both"/>
        <w:rPr>
          <w:rFonts w:cs="Arial"/>
          <w:color w:val="313131"/>
        </w:rPr>
      </w:pPr>
      <w:r w:rsidRPr="00390B2D">
        <w:rPr>
          <w:rFonts w:cs="Arial"/>
          <w:color w:val="313131"/>
        </w:rPr>
        <w:t>sexual offences</w:t>
      </w:r>
    </w:p>
    <w:p w14:paraId="5AB1D807" w14:textId="0D4653D3" w:rsidR="00E820D9" w:rsidRPr="00390B2D" w:rsidRDefault="00E820D9" w:rsidP="00CA6BDB">
      <w:pPr>
        <w:numPr>
          <w:ilvl w:val="0"/>
          <w:numId w:val="3"/>
        </w:numPr>
        <w:shd w:val="clear" w:color="auto" w:fill="FFFFFF"/>
        <w:spacing w:before="60" w:after="0" w:line="240" w:lineRule="auto"/>
        <w:ind w:left="714" w:hanging="357"/>
        <w:jc w:val="both"/>
        <w:rPr>
          <w:rFonts w:cs="Arial"/>
          <w:color w:val="313131"/>
        </w:rPr>
      </w:pPr>
      <w:r w:rsidRPr="00390B2D">
        <w:rPr>
          <w:rFonts w:cs="Arial"/>
          <w:color w:val="313131"/>
        </w:rPr>
        <w:t>grooming offences under section 49M</w:t>
      </w:r>
      <w:r w:rsidR="004E6459">
        <w:rPr>
          <w:rFonts w:cs="Arial"/>
          <w:color w:val="313131"/>
        </w:rPr>
        <w:t xml:space="preserve"> </w:t>
      </w:r>
      <w:r w:rsidRPr="00390B2D">
        <w:rPr>
          <w:rFonts w:cs="Arial"/>
          <w:color w:val="313131"/>
        </w:rPr>
        <w:t>(1) of the </w:t>
      </w:r>
      <w:r w:rsidRPr="00390B2D">
        <w:rPr>
          <w:rStyle w:val="Emphasis"/>
          <w:rFonts w:cs="Arial"/>
          <w:color w:val="313131"/>
        </w:rPr>
        <w:t>Crimes Act 1958</w:t>
      </w:r>
      <w:r w:rsidRPr="00390B2D">
        <w:rPr>
          <w:rFonts w:cs="Arial"/>
          <w:color w:val="313131"/>
        </w:rPr>
        <w:t> (Vic.)</w:t>
      </w:r>
    </w:p>
    <w:p w14:paraId="73B96EF0" w14:textId="77777777" w:rsidR="00E820D9" w:rsidRPr="00390B2D" w:rsidRDefault="00E820D9" w:rsidP="00CA6BDB">
      <w:pPr>
        <w:numPr>
          <w:ilvl w:val="0"/>
          <w:numId w:val="3"/>
        </w:numPr>
        <w:shd w:val="clear" w:color="auto" w:fill="FFFFFF"/>
        <w:spacing w:before="60" w:after="0" w:line="240" w:lineRule="auto"/>
        <w:ind w:left="714" w:hanging="357"/>
        <w:jc w:val="both"/>
        <w:rPr>
          <w:rFonts w:cs="Arial"/>
          <w:color w:val="313131"/>
        </w:rPr>
      </w:pPr>
      <w:r w:rsidRPr="00390B2D">
        <w:rPr>
          <w:rFonts w:cs="Arial"/>
          <w:color w:val="313131"/>
        </w:rPr>
        <w:t>physical violence</w:t>
      </w:r>
    </w:p>
    <w:p w14:paraId="2BE1EAB2" w14:textId="77777777" w:rsidR="00E820D9" w:rsidRPr="00390B2D" w:rsidRDefault="00E820D9" w:rsidP="00CA6BDB">
      <w:pPr>
        <w:numPr>
          <w:ilvl w:val="0"/>
          <w:numId w:val="3"/>
        </w:numPr>
        <w:shd w:val="clear" w:color="auto" w:fill="FFFFFF"/>
        <w:spacing w:before="60" w:after="0" w:line="240" w:lineRule="auto"/>
        <w:ind w:left="714" w:hanging="357"/>
        <w:jc w:val="both"/>
        <w:rPr>
          <w:rFonts w:cs="Arial"/>
          <w:color w:val="313131"/>
        </w:rPr>
      </w:pPr>
      <w:r w:rsidRPr="00390B2D">
        <w:rPr>
          <w:rFonts w:cs="Arial"/>
          <w:color w:val="313131"/>
        </w:rPr>
        <w:t>serious emotional or psychological harm</w:t>
      </w:r>
    </w:p>
    <w:p w14:paraId="592442B3" w14:textId="293A2776" w:rsidR="005F2396" w:rsidRPr="00661E1A" w:rsidRDefault="00E820D9" w:rsidP="005F2396">
      <w:pPr>
        <w:numPr>
          <w:ilvl w:val="0"/>
          <w:numId w:val="3"/>
        </w:numPr>
        <w:shd w:val="clear" w:color="auto" w:fill="FFFFFF"/>
        <w:spacing w:before="60" w:after="0" w:line="240" w:lineRule="auto"/>
        <w:ind w:left="714" w:hanging="357"/>
        <w:jc w:val="both"/>
        <w:rPr>
          <w:rFonts w:cs="Arial"/>
          <w:color w:val="313131"/>
        </w:rPr>
      </w:pPr>
      <w:r w:rsidRPr="00390B2D">
        <w:rPr>
          <w:rFonts w:cs="Arial"/>
          <w:color w:val="313131"/>
        </w:rPr>
        <w:t>serious neglect.</w:t>
      </w:r>
    </w:p>
    <w:p w14:paraId="2632C033" w14:textId="77777777" w:rsidR="00E820D9" w:rsidRPr="00390B2D" w:rsidRDefault="00E820D9" w:rsidP="004B0838">
      <w:pPr>
        <w:spacing w:after="0"/>
        <w:jc w:val="both"/>
        <w:rPr>
          <w:rFonts w:cs="Times New Roman"/>
        </w:rPr>
      </w:pPr>
      <w:r w:rsidRPr="00390B2D">
        <w:rPr>
          <w:rFonts w:cs="Arial"/>
          <w:color w:val="313131"/>
          <w:shd w:val="clear" w:color="auto" w:fill="FFFFFF"/>
        </w:rPr>
        <w:t> </w:t>
      </w:r>
    </w:p>
    <w:tbl>
      <w:tblPr>
        <w:tblW w:w="90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62"/>
        <w:gridCol w:w="6402"/>
      </w:tblGrid>
      <w:tr w:rsidR="00E820D9" w:rsidRPr="00390B2D" w14:paraId="7E119951" w14:textId="77777777" w:rsidTr="005F2396">
        <w:trPr>
          <w:cantSplit/>
        </w:trPr>
        <w:tc>
          <w:tcPr>
            <w:tcW w:w="2662" w:type="dxa"/>
            <w:tcBorders>
              <w:top w:val="outset" w:sz="2" w:space="0" w:color="auto"/>
              <w:left w:val="outset" w:sz="6" w:space="0" w:color="auto"/>
              <w:bottom w:val="outset" w:sz="2" w:space="0" w:color="auto"/>
              <w:right w:val="outset" w:sz="2" w:space="0" w:color="auto"/>
            </w:tcBorders>
            <w:shd w:val="clear" w:color="auto" w:fill="FFFFFF"/>
            <w:tcMar>
              <w:top w:w="113" w:type="dxa"/>
              <w:left w:w="170" w:type="dxa"/>
              <w:bottom w:w="113" w:type="dxa"/>
              <w:right w:w="170" w:type="dxa"/>
            </w:tcMar>
            <w:hideMark/>
          </w:tcPr>
          <w:p w14:paraId="04042126" w14:textId="77777777" w:rsidR="00E820D9" w:rsidRPr="00390B2D" w:rsidRDefault="00E820D9" w:rsidP="005F2396">
            <w:pPr>
              <w:spacing w:after="0"/>
              <w:rPr>
                <w:rFonts w:cs="Arial"/>
                <w:color w:val="2F2F2F"/>
              </w:rPr>
            </w:pPr>
            <w:r w:rsidRPr="00390B2D">
              <w:rPr>
                <w:rFonts w:cs="Arial"/>
                <w:color w:val="2F2F2F"/>
              </w:rPr>
              <w:t>Sexual offences</w:t>
            </w:r>
          </w:p>
        </w:tc>
        <w:tc>
          <w:tcPr>
            <w:tcW w:w="6402" w:type="dxa"/>
            <w:tcBorders>
              <w:top w:val="outset" w:sz="2" w:space="0" w:color="auto"/>
              <w:left w:val="outset" w:sz="6" w:space="0" w:color="auto"/>
              <w:bottom w:val="outset" w:sz="2" w:space="0" w:color="auto"/>
              <w:right w:val="outset" w:sz="2" w:space="0" w:color="auto"/>
            </w:tcBorders>
            <w:shd w:val="clear" w:color="auto" w:fill="FFFFFF"/>
            <w:tcMar>
              <w:top w:w="113" w:type="dxa"/>
              <w:left w:w="170" w:type="dxa"/>
              <w:bottom w:w="113" w:type="dxa"/>
              <w:right w:w="170" w:type="dxa"/>
            </w:tcMar>
            <w:vAlign w:val="center"/>
            <w:hideMark/>
          </w:tcPr>
          <w:p w14:paraId="2D786042" w14:textId="77777777" w:rsidR="00E820D9" w:rsidRPr="004E6459" w:rsidRDefault="00E820D9" w:rsidP="005F2396">
            <w:pPr>
              <w:spacing w:after="0"/>
              <w:jc w:val="both"/>
              <w:rPr>
                <w:rFonts w:cs="Arial"/>
              </w:rPr>
            </w:pPr>
            <w:r w:rsidRPr="004E6459">
              <w:rPr>
                <w:rFonts w:cs="Arial"/>
              </w:rPr>
              <w:t>A sexual offence occurs when a person involves a child in sexual activity, or deliberately puts the child in the presence of sexual behaviours that are exploitative or inappropriate to the child’s age and development. Sexual offences are governed by the </w:t>
            </w:r>
            <w:r w:rsidRPr="004E6459">
              <w:rPr>
                <w:rStyle w:val="Emphasis"/>
                <w:rFonts w:cs="Arial"/>
              </w:rPr>
              <w:t>Crimes Act 1958</w:t>
            </w:r>
            <w:r w:rsidRPr="004E6459">
              <w:rPr>
                <w:rFonts w:cs="Arial"/>
              </w:rPr>
              <w:t> (Vic.). Sexual abuse can involve a wide range of sexual activity and may include fondling, masturbation, oral sex, penetration, voyeurism and exhibitionism. It can also include exploitation through pornography or prostitution.</w:t>
            </w:r>
          </w:p>
        </w:tc>
      </w:tr>
      <w:tr w:rsidR="00E820D9" w:rsidRPr="00390B2D" w14:paraId="29368C42" w14:textId="77777777" w:rsidTr="005F2396">
        <w:trPr>
          <w:cantSplit/>
        </w:trPr>
        <w:tc>
          <w:tcPr>
            <w:tcW w:w="2662" w:type="dxa"/>
            <w:tcBorders>
              <w:top w:val="outset" w:sz="2" w:space="0" w:color="auto"/>
              <w:left w:val="outset" w:sz="6" w:space="0" w:color="auto"/>
              <w:bottom w:val="outset" w:sz="2" w:space="0" w:color="auto"/>
              <w:right w:val="outset" w:sz="2" w:space="0" w:color="auto"/>
            </w:tcBorders>
            <w:shd w:val="clear" w:color="auto" w:fill="F6F6F6"/>
            <w:tcMar>
              <w:top w:w="113" w:type="dxa"/>
              <w:left w:w="170" w:type="dxa"/>
              <w:bottom w:w="113" w:type="dxa"/>
              <w:right w:w="170" w:type="dxa"/>
            </w:tcMar>
            <w:hideMark/>
          </w:tcPr>
          <w:p w14:paraId="0433B45C" w14:textId="77777777" w:rsidR="00E820D9" w:rsidRPr="00390B2D" w:rsidRDefault="00E820D9" w:rsidP="005F2396">
            <w:pPr>
              <w:spacing w:after="0"/>
              <w:rPr>
                <w:rFonts w:cs="Arial"/>
                <w:color w:val="2F2F2F"/>
              </w:rPr>
            </w:pPr>
            <w:r w:rsidRPr="00390B2D">
              <w:rPr>
                <w:rFonts w:cs="Arial"/>
                <w:color w:val="2F2F2F"/>
              </w:rPr>
              <w:lastRenderedPageBreak/>
              <w:t>Grooming</w:t>
            </w:r>
          </w:p>
        </w:tc>
        <w:tc>
          <w:tcPr>
            <w:tcW w:w="6402" w:type="dxa"/>
            <w:tcBorders>
              <w:top w:val="outset" w:sz="2" w:space="0" w:color="auto"/>
              <w:left w:val="outset" w:sz="6" w:space="0" w:color="auto"/>
              <w:bottom w:val="outset" w:sz="2" w:space="0" w:color="auto"/>
              <w:right w:val="outset" w:sz="2" w:space="0" w:color="auto"/>
            </w:tcBorders>
            <w:shd w:val="clear" w:color="auto" w:fill="F6F6F6"/>
            <w:tcMar>
              <w:top w:w="113" w:type="dxa"/>
              <w:left w:w="170" w:type="dxa"/>
              <w:bottom w:w="113" w:type="dxa"/>
              <w:right w:w="170" w:type="dxa"/>
            </w:tcMar>
            <w:vAlign w:val="center"/>
            <w:hideMark/>
          </w:tcPr>
          <w:p w14:paraId="4E9AF1AE" w14:textId="77777777" w:rsidR="00E820D9" w:rsidRPr="004E6459" w:rsidRDefault="00E820D9" w:rsidP="005F2396">
            <w:pPr>
              <w:spacing w:after="0"/>
              <w:jc w:val="both"/>
              <w:rPr>
                <w:rFonts w:cs="Arial"/>
              </w:rPr>
            </w:pPr>
            <w:r w:rsidRPr="004E6459">
              <w:rPr>
                <w:rFonts w:cs="Arial"/>
              </w:rPr>
              <w:t>Grooming refers to predatory conduct undertaken by an adult (18 years or over) to prepare a child for sexual activity at a later time. It is a sexual offence under section 49M of the </w:t>
            </w:r>
            <w:r w:rsidRPr="004E6459">
              <w:rPr>
                <w:rStyle w:val="Emphasis"/>
                <w:rFonts w:cs="Arial"/>
              </w:rPr>
              <w:t>Crimes Act 1958</w:t>
            </w:r>
            <w:r w:rsidRPr="004E6459">
              <w:rPr>
                <w:rFonts w:cs="Arial"/>
              </w:rPr>
              <w:t> (Vic.) carrying a maximum 10-year term of imprisonment. Under section 49M, the adult’s words or conduct must be intended to facilitate the child engaging or being involved in the commission of, or attempt to commit, a sexual offence by the adult or another adult.</w:t>
            </w:r>
          </w:p>
        </w:tc>
      </w:tr>
      <w:tr w:rsidR="00E820D9" w:rsidRPr="00390B2D" w14:paraId="09BEE721" w14:textId="77777777" w:rsidTr="005F2396">
        <w:trPr>
          <w:cantSplit/>
        </w:trPr>
        <w:tc>
          <w:tcPr>
            <w:tcW w:w="2662" w:type="dxa"/>
            <w:tcBorders>
              <w:top w:val="outset" w:sz="2" w:space="0" w:color="auto"/>
              <w:left w:val="outset" w:sz="6" w:space="0" w:color="auto"/>
              <w:bottom w:val="outset" w:sz="2" w:space="0" w:color="auto"/>
              <w:right w:val="outset" w:sz="2" w:space="0" w:color="auto"/>
            </w:tcBorders>
            <w:shd w:val="clear" w:color="auto" w:fill="FFFFFF"/>
            <w:tcMar>
              <w:top w:w="113" w:type="dxa"/>
              <w:left w:w="170" w:type="dxa"/>
              <w:bottom w:w="113" w:type="dxa"/>
              <w:right w:w="170" w:type="dxa"/>
            </w:tcMar>
            <w:hideMark/>
          </w:tcPr>
          <w:p w14:paraId="2CAF96F8" w14:textId="77777777" w:rsidR="00E820D9" w:rsidRPr="00390B2D" w:rsidRDefault="00E820D9" w:rsidP="005F2396">
            <w:pPr>
              <w:spacing w:after="0"/>
              <w:rPr>
                <w:rFonts w:cs="Arial"/>
                <w:color w:val="2F2F2F"/>
              </w:rPr>
            </w:pPr>
            <w:r w:rsidRPr="00390B2D">
              <w:rPr>
                <w:rFonts w:cs="Arial"/>
                <w:color w:val="2F2F2F"/>
              </w:rPr>
              <w:t>Physical violence</w:t>
            </w:r>
          </w:p>
        </w:tc>
        <w:tc>
          <w:tcPr>
            <w:tcW w:w="6402" w:type="dxa"/>
            <w:tcBorders>
              <w:top w:val="outset" w:sz="2" w:space="0" w:color="auto"/>
              <w:left w:val="outset" w:sz="6" w:space="0" w:color="auto"/>
              <w:bottom w:val="outset" w:sz="2" w:space="0" w:color="auto"/>
              <w:right w:val="outset" w:sz="2" w:space="0" w:color="auto"/>
            </w:tcBorders>
            <w:shd w:val="clear" w:color="auto" w:fill="FFFFFF"/>
            <w:tcMar>
              <w:top w:w="113" w:type="dxa"/>
              <w:left w:w="170" w:type="dxa"/>
              <w:bottom w:w="113" w:type="dxa"/>
              <w:right w:w="170" w:type="dxa"/>
            </w:tcMar>
            <w:vAlign w:val="center"/>
            <w:hideMark/>
          </w:tcPr>
          <w:p w14:paraId="673F7D83" w14:textId="77777777" w:rsidR="00E820D9" w:rsidRPr="004E6459" w:rsidRDefault="00E820D9" w:rsidP="005F2396">
            <w:pPr>
              <w:spacing w:after="0"/>
              <w:jc w:val="both"/>
              <w:rPr>
                <w:rFonts w:cs="Arial"/>
              </w:rPr>
            </w:pPr>
            <w:r w:rsidRPr="004E6459">
              <w:rPr>
                <w:rFonts w:cs="Arial"/>
              </w:rPr>
              <w:t>Physical violence occurs when a child suffers or is likely to suffer significant harm from a non-accidental injury or injuries inflicted by another person. Physical violence can be inflicted in many ways including beating, shaking, burning or using weapons (such as belts and paddles). Physical harm may also be caused during student fights.</w:t>
            </w:r>
          </w:p>
        </w:tc>
      </w:tr>
      <w:tr w:rsidR="00E820D9" w:rsidRPr="00390B2D" w14:paraId="0EC2E920" w14:textId="77777777" w:rsidTr="005F2396">
        <w:trPr>
          <w:cantSplit/>
        </w:trPr>
        <w:tc>
          <w:tcPr>
            <w:tcW w:w="2662" w:type="dxa"/>
            <w:tcBorders>
              <w:top w:val="outset" w:sz="2" w:space="0" w:color="auto"/>
              <w:left w:val="outset" w:sz="6" w:space="0" w:color="auto"/>
              <w:bottom w:val="outset" w:sz="2" w:space="0" w:color="auto"/>
              <w:right w:val="outset" w:sz="2" w:space="0" w:color="auto"/>
            </w:tcBorders>
            <w:shd w:val="clear" w:color="auto" w:fill="F6F6F6"/>
            <w:tcMar>
              <w:top w:w="113" w:type="dxa"/>
              <w:left w:w="170" w:type="dxa"/>
              <w:bottom w:w="113" w:type="dxa"/>
              <w:right w:w="170" w:type="dxa"/>
            </w:tcMar>
            <w:hideMark/>
          </w:tcPr>
          <w:p w14:paraId="7BB59CF9" w14:textId="77777777" w:rsidR="00E820D9" w:rsidRPr="00390B2D" w:rsidRDefault="00E820D9" w:rsidP="005F2396">
            <w:pPr>
              <w:spacing w:after="0"/>
              <w:rPr>
                <w:rFonts w:cs="Arial"/>
                <w:color w:val="2F2F2F"/>
              </w:rPr>
            </w:pPr>
            <w:r w:rsidRPr="00390B2D">
              <w:rPr>
                <w:rFonts w:cs="Arial"/>
                <w:color w:val="2F2F2F"/>
              </w:rPr>
              <w:t>Serious emotional or psychological harm</w:t>
            </w:r>
          </w:p>
        </w:tc>
        <w:tc>
          <w:tcPr>
            <w:tcW w:w="6402" w:type="dxa"/>
            <w:tcBorders>
              <w:top w:val="outset" w:sz="2" w:space="0" w:color="auto"/>
              <w:left w:val="outset" w:sz="6" w:space="0" w:color="auto"/>
              <w:bottom w:val="outset" w:sz="2" w:space="0" w:color="auto"/>
              <w:right w:val="outset" w:sz="2" w:space="0" w:color="auto"/>
            </w:tcBorders>
            <w:shd w:val="clear" w:color="auto" w:fill="F6F6F6"/>
            <w:tcMar>
              <w:top w:w="113" w:type="dxa"/>
              <w:left w:w="170" w:type="dxa"/>
              <w:bottom w:w="113" w:type="dxa"/>
              <w:right w:w="170" w:type="dxa"/>
            </w:tcMar>
            <w:vAlign w:val="center"/>
            <w:hideMark/>
          </w:tcPr>
          <w:p w14:paraId="0154014F" w14:textId="77777777" w:rsidR="00E820D9" w:rsidRPr="004E6459" w:rsidRDefault="00E820D9" w:rsidP="005F2396">
            <w:pPr>
              <w:spacing w:after="0"/>
              <w:jc w:val="both"/>
              <w:rPr>
                <w:rFonts w:cs="Arial"/>
              </w:rPr>
            </w:pPr>
            <w:r w:rsidRPr="004E6459">
              <w:rPr>
                <w:rFonts w:cs="Arial"/>
              </w:rPr>
              <w:t>Serious emotional or psychological abuse may occur when a child is repeatedly rejected, isolated or frightened by threats or the witnessing of family violence. It also includes hostility, derogatory name-calling and put-downs, or persistent coldness from a person, to the extent where the behaviour of the child is disturbed or their emotional development is at serious risk of being impaired. Serious emotional or psychological harm could also result from conduct that exploits a child without necessarily being criminal, such as encouraging a child to engage in inappropriate or risky behaviours.</w:t>
            </w:r>
          </w:p>
        </w:tc>
      </w:tr>
      <w:tr w:rsidR="00E820D9" w:rsidRPr="00390B2D" w14:paraId="622748EF" w14:textId="77777777" w:rsidTr="005F2396">
        <w:trPr>
          <w:cantSplit/>
        </w:trPr>
        <w:tc>
          <w:tcPr>
            <w:tcW w:w="2662" w:type="dxa"/>
            <w:tcBorders>
              <w:top w:val="outset" w:sz="2" w:space="0" w:color="auto"/>
              <w:left w:val="outset" w:sz="6" w:space="0" w:color="auto"/>
              <w:bottom w:val="outset" w:sz="2" w:space="0" w:color="auto"/>
              <w:right w:val="outset" w:sz="2" w:space="0" w:color="auto"/>
            </w:tcBorders>
            <w:shd w:val="clear" w:color="auto" w:fill="FFFFFF"/>
            <w:tcMar>
              <w:top w:w="113" w:type="dxa"/>
              <w:left w:w="170" w:type="dxa"/>
              <w:bottom w:w="113" w:type="dxa"/>
              <w:right w:w="170" w:type="dxa"/>
            </w:tcMar>
            <w:hideMark/>
          </w:tcPr>
          <w:p w14:paraId="667637A8" w14:textId="77777777" w:rsidR="00E820D9" w:rsidRPr="00390B2D" w:rsidRDefault="00E820D9" w:rsidP="005F2396">
            <w:pPr>
              <w:spacing w:after="0"/>
              <w:rPr>
                <w:rFonts w:cs="Arial"/>
                <w:color w:val="2F2F2F"/>
              </w:rPr>
            </w:pPr>
            <w:r w:rsidRPr="00390B2D">
              <w:rPr>
                <w:rFonts w:cs="Arial"/>
                <w:color w:val="2F2F2F"/>
              </w:rPr>
              <w:t>Serious neglect</w:t>
            </w:r>
          </w:p>
        </w:tc>
        <w:tc>
          <w:tcPr>
            <w:tcW w:w="6402" w:type="dxa"/>
            <w:tcBorders>
              <w:top w:val="outset" w:sz="2" w:space="0" w:color="auto"/>
              <w:left w:val="outset" w:sz="6" w:space="0" w:color="auto"/>
              <w:bottom w:val="outset" w:sz="2" w:space="0" w:color="auto"/>
              <w:right w:val="outset" w:sz="2" w:space="0" w:color="auto"/>
            </w:tcBorders>
            <w:shd w:val="clear" w:color="auto" w:fill="FFFFFF"/>
            <w:tcMar>
              <w:top w:w="113" w:type="dxa"/>
              <w:left w:w="170" w:type="dxa"/>
              <w:bottom w:w="113" w:type="dxa"/>
              <w:right w:w="170" w:type="dxa"/>
            </w:tcMar>
            <w:vAlign w:val="center"/>
            <w:hideMark/>
          </w:tcPr>
          <w:p w14:paraId="604214DD" w14:textId="6B1BADFF" w:rsidR="005F2396" w:rsidRPr="004E6459" w:rsidRDefault="00E820D9" w:rsidP="005F2396">
            <w:pPr>
              <w:spacing w:after="0"/>
              <w:jc w:val="both"/>
              <w:rPr>
                <w:rFonts w:cs="Arial"/>
              </w:rPr>
            </w:pPr>
            <w:r w:rsidRPr="004E6459">
              <w:rPr>
                <w:rFonts w:cs="Arial"/>
              </w:rPr>
              <w:t>Neglect includes a failure to provide a child with an adequate standard of nutrition, medical care, clothing, shelter or supervision. Significant neglect causes harm to a child that is more than trivial or temporary. Serious neglect is when the child is exposed to an extremely dangerous or life-threatening situation and there is a continued failure to provide a child with the basic necessities of life.</w:t>
            </w:r>
          </w:p>
        </w:tc>
      </w:tr>
      <w:tr w:rsidR="00E820D9" w:rsidRPr="00390B2D" w14:paraId="2A43FAE6" w14:textId="77777777" w:rsidTr="005F2396">
        <w:trPr>
          <w:cantSplit/>
        </w:trPr>
        <w:tc>
          <w:tcPr>
            <w:tcW w:w="2662" w:type="dxa"/>
            <w:tcBorders>
              <w:top w:val="outset" w:sz="2" w:space="0" w:color="auto"/>
              <w:left w:val="outset" w:sz="6" w:space="0" w:color="auto"/>
              <w:bottom w:val="outset" w:sz="2" w:space="0" w:color="auto"/>
              <w:right w:val="outset" w:sz="2" w:space="0" w:color="auto"/>
            </w:tcBorders>
            <w:shd w:val="clear" w:color="auto" w:fill="F6F6F6"/>
            <w:tcMar>
              <w:top w:w="113" w:type="dxa"/>
              <w:left w:w="170" w:type="dxa"/>
              <w:bottom w:w="113" w:type="dxa"/>
              <w:right w:w="170" w:type="dxa"/>
            </w:tcMar>
            <w:hideMark/>
          </w:tcPr>
          <w:p w14:paraId="1825F32F" w14:textId="77777777" w:rsidR="00E820D9" w:rsidRPr="00390B2D" w:rsidRDefault="00E820D9" w:rsidP="005F2396">
            <w:pPr>
              <w:spacing w:after="0"/>
              <w:rPr>
                <w:rFonts w:cs="Arial"/>
                <w:color w:val="2F2F2F"/>
              </w:rPr>
            </w:pPr>
            <w:r w:rsidRPr="00390B2D">
              <w:rPr>
                <w:rFonts w:cs="Arial"/>
                <w:color w:val="2F2F2F"/>
              </w:rPr>
              <w:t>Family violence</w:t>
            </w:r>
          </w:p>
        </w:tc>
        <w:tc>
          <w:tcPr>
            <w:tcW w:w="6402" w:type="dxa"/>
            <w:tcBorders>
              <w:top w:val="outset" w:sz="2" w:space="0" w:color="auto"/>
              <w:left w:val="outset" w:sz="6" w:space="0" w:color="auto"/>
              <w:bottom w:val="outset" w:sz="2" w:space="0" w:color="auto"/>
              <w:right w:val="outset" w:sz="2" w:space="0" w:color="auto"/>
            </w:tcBorders>
            <w:shd w:val="clear" w:color="auto" w:fill="F6F6F6"/>
            <w:tcMar>
              <w:top w:w="113" w:type="dxa"/>
              <w:left w:w="170" w:type="dxa"/>
              <w:bottom w:w="113" w:type="dxa"/>
              <w:right w:w="170" w:type="dxa"/>
            </w:tcMar>
            <w:vAlign w:val="center"/>
            <w:hideMark/>
          </w:tcPr>
          <w:p w14:paraId="02EF1D4E" w14:textId="77777777" w:rsidR="00E820D9" w:rsidRPr="004E6459" w:rsidRDefault="00E820D9" w:rsidP="005F2396">
            <w:pPr>
              <w:spacing w:after="0"/>
              <w:jc w:val="both"/>
              <w:rPr>
                <w:rFonts w:cs="Arial"/>
              </w:rPr>
            </w:pPr>
            <w:r w:rsidRPr="004E6459">
              <w:rPr>
                <w:rFonts w:cs="Arial"/>
              </w:rPr>
              <w:t>Family violence is defined under the </w:t>
            </w:r>
            <w:r w:rsidRPr="004E6459">
              <w:rPr>
                <w:rStyle w:val="Emphasis"/>
                <w:rFonts w:cs="Arial"/>
              </w:rPr>
              <w:t>Family Violence Protection Act 2008 </w:t>
            </w:r>
            <w:r w:rsidRPr="004E6459">
              <w:rPr>
                <w:rFonts w:cs="Arial"/>
              </w:rPr>
              <w:t>(Vic.) to include behaviour that causes a child to hear, witness or be exposed to the effects of family violence such as abusive, threatening, controlling or coercive behaviour. While family violence does not form part of the official definition of ‘child abuse’ in the </w:t>
            </w:r>
            <w:r w:rsidRPr="004E6459">
              <w:rPr>
                <w:rStyle w:val="Emphasis"/>
                <w:rFonts w:cs="Arial"/>
              </w:rPr>
              <w:t>Child Wellbeing and Safety Act 2005 </w:t>
            </w:r>
            <w:r w:rsidRPr="004E6459">
              <w:rPr>
                <w:rFonts w:cs="Arial"/>
              </w:rPr>
              <w:t>(Vic.), the impact of family violence on a child can be a form of child abuse, for example, where it causes serious emotional or psychological harm to a child. A child can also be a direct victim of family violence.</w:t>
            </w:r>
          </w:p>
        </w:tc>
      </w:tr>
    </w:tbl>
    <w:p w14:paraId="0CFD20ED" w14:textId="77777777" w:rsidR="00E820D9" w:rsidRDefault="00E820D9" w:rsidP="004B0838">
      <w:pPr>
        <w:pStyle w:val="NormalWeb"/>
        <w:shd w:val="clear" w:color="auto" w:fill="FFFFFF"/>
        <w:spacing w:before="0" w:beforeAutospacing="0" w:after="240" w:afterAutospacing="0"/>
        <w:jc w:val="both"/>
        <w:rPr>
          <w:rFonts w:asciiTheme="minorHAnsi" w:hAnsiTheme="minorHAnsi" w:cs="Arial"/>
          <w:color w:val="313131"/>
          <w:sz w:val="22"/>
          <w:szCs w:val="22"/>
        </w:rPr>
      </w:pPr>
    </w:p>
    <w:p w14:paraId="44527312" w14:textId="77777777" w:rsidR="005F2396" w:rsidRDefault="00E820D9" w:rsidP="005F2396">
      <w:pPr>
        <w:pStyle w:val="NormalWeb"/>
        <w:shd w:val="clear" w:color="auto" w:fill="FFFFFF" w:themeFill="background1"/>
        <w:spacing w:before="0" w:beforeAutospacing="0" w:after="160" w:afterAutospacing="0" w:line="259" w:lineRule="auto"/>
        <w:jc w:val="both"/>
        <w:rPr>
          <w:rFonts w:asciiTheme="minorHAnsi" w:hAnsiTheme="minorHAnsi" w:cs="Arial"/>
          <w:sz w:val="22"/>
          <w:szCs w:val="22"/>
        </w:rPr>
      </w:pPr>
      <w:r w:rsidRPr="004E6459">
        <w:rPr>
          <w:rFonts w:asciiTheme="minorHAnsi" w:hAnsiTheme="minorHAnsi" w:cs="Arial"/>
          <w:sz w:val="22"/>
          <w:szCs w:val="22"/>
        </w:rPr>
        <w:t>Child abuse can have a significant effect on a child’s physical, social, psychological or emotional health, development and wellbeing. The younger the child, the more vulnerable they are to abuse and the more serious the consequences are likely to be.</w:t>
      </w:r>
    </w:p>
    <w:p w14:paraId="456B45CF" w14:textId="77777777" w:rsidR="005F2396" w:rsidRDefault="00E820D9" w:rsidP="005F2396">
      <w:pPr>
        <w:pStyle w:val="NormalWeb"/>
        <w:shd w:val="clear" w:color="auto" w:fill="FFFFFF" w:themeFill="background1"/>
        <w:spacing w:before="0" w:beforeAutospacing="0" w:after="160" w:afterAutospacing="0" w:line="259" w:lineRule="auto"/>
        <w:jc w:val="both"/>
      </w:pPr>
      <w:r w:rsidRPr="004E6459">
        <w:rPr>
          <w:rFonts w:asciiTheme="minorHAnsi" w:hAnsiTheme="minorHAnsi" w:cs="Arial"/>
          <w:sz w:val="22"/>
          <w:szCs w:val="22"/>
        </w:rPr>
        <w:lastRenderedPageBreak/>
        <w:t xml:space="preserve">There can be physical </w:t>
      </w:r>
      <w:r w:rsidR="13171442" w:rsidRPr="004E6459">
        <w:rPr>
          <w:rFonts w:asciiTheme="minorHAnsi" w:hAnsiTheme="minorHAnsi" w:cs="Arial"/>
          <w:sz w:val="22"/>
          <w:szCs w:val="22"/>
        </w:rPr>
        <w:t>and/</w:t>
      </w:r>
      <w:r w:rsidRPr="004E6459">
        <w:rPr>
          <w:rFonts w:asciiTheme="minorHAnsi" w:hAnsiTheme="minorHAnsi" w:cs="Arial"/>
          <w:sz w:val="22"/>
          <w:szCs w:val="22"/>
        </w:rPr>
        <w:t>or behavioural indicators of child abuse and neglect</w:t>
      </w:r>
      <w:r w:rsidR="1A50D3F7" w:rsidRPr="004E6459">
        <w:rPr>
          <w:rFonts w:asciiTheme="minorHAnsi" w:hAnsiTheme="minorHAnsi" w:cs="Arial"/>
          <w:sz w:val="22"/>
          <w:szCs w:val="22"/>
        </w:rPr>
        <w:t xml:space="preserve">. </w:t>
      </w:r>
      <w:r w:rsidRPr="004E6459">
        <w:rPr>
          <w:rFonts w:asciiTheme="minorHAnsi" w:hAnsiTheme="minorHAnsi" w:cs="Arial"/>
          <w:sz w:val="22"/>
          <w:szCs w:val="22"/>
        </w:rPr>
        <w:t>While the presence of a single indicator, or even several indicators, does not necessarily prove that abuse or neglect has occurred, the repeated occurrence of either a physical or behavioural indicator, or the occurrence of several indicators together, should alert school staff to the possibility of child abuse or neglect.</w:t>
      </w:r>
    </w:p>
    <w:p w14:paraId="30661C9F" w14:textId="2EA0EA44" w:rsidR="005F2396" w:rsidRDefault="00E820D9" w:rsidP="005F2396">
      <w:pPr>
        <w:pStyle w:val="NormalWeb"/>
        <w:shd w:val="clear" w:color="auto" w:fill="FFFFFF" w:themeFill="background1"/>
        <w:spacing w:before="0" w:beforeAutospacing="0" w:after="160" w:afterAutospacing="0" w:line="259" w:lineRule="auto"/>
        <w:jc w:val="both"/>
        <w:rPr>
          <w:rFonts w:asciiTheme="minorHAnsi" w:hAnsiTheme="minorHAnsi" w:cs="Arial"/>
          <w:sz w:val="22"/>
          <w:szCs w:val="22"/>
        </w:rPr>
      </w:pPr>
      <w:r w:rsidRPr="004E6459">
        <w:rPr>
          <w:rFonts w:asciiTheme="minorHAnsi" w:hAnsiTheme="minorHAnsi" w:cs="Arial"/>
          <w:sz w:val="22"/>
          <w:szCs w:val="22"/>
        </w:rPr>
        <w:t>Child sexual abuse is more commonly perpetrated by someone who is known to and trusted by the child,</w:t>
      </w:r>
      <w:r w:rsidR="005F2396">
        <w:rPr>
          <w:rFonts w:asciiTheme="minorHAnsi" w:hAnsiTheme="minorHAnsi" w:cs="Arial"/>
          <w:sz w:val="22"/>
          <w:szCs w:val="22"/>
        </w:rPr>
        <w:t xml:space="preserve"> </w:t>
      </w:r>
      <w:r w:rsidRPr="004E6459">
        <w:rPr>
          <w:rFonts w:asciiTheme="minorHAnsi" w:hAnsiTheme="minorHAnsi" w:cs="Arial"/>
          <w:sz w:val="22"/>
          <w:szCs w:val="22"/>
        </w:rPr>
        <w:t>and is also often someone highly trusted within their families, communities, schools and/or other institutions, such as the Church</w:t>
      </w:r>
      <w:r w:rsidR="005F2396">
        <w:rPr>
          <w:rFonts w:asciiTheme="minorHAnsi" w:hAnsiTheme="minorHAnsi" w:cs="Arial"/>
          <w:sz w:val="22"/>
          <w:szCs w:val="22"/>
        </w:rPr>
        <w:t>.</w:t>
      </w:r>
    </w:p>
    <w:p w14:paraId="4A78549C" w14:textId="60E44634" w:rsidR="00E820D9" w:rsidRPr="004E6459" w:rsidRDefault="72774914" w:rsidP="005F2396">
      <w:pPr>
        <w:pStyle w:val="NormalWeb"/>
        <w:shd w:val="clear" w:color="auto" w:fill="FFFFFF" w:themeFill="background1"/>
        <w:spacing w:before="0" w:beforeAutospacing="0" w:after="160" w:afterAutospacing="0" w:line="259" w:lineRule="auto"/>
        <w:jc w:val="both"/>
        <w:rPr>
          <w:rFonts w:asciiTheme="minorHAnsi" w:hAnsiTheme="minorHAnsi" w:cs="Arial"/>
          <w:sz w:val="22"/>
          <w:szCs w:val="22"/>
        </w:rPr>
      </w:pPr>
      <w:r w:rsidRPr="004E6459">
        <w:rPr>
          <w:rFonts w:asciiTheme="minorHAnsi" w:eastAsiaTheme="minorEastAsia" w:hAnsiTheme="minorHAnsi" w:cstheme="minorBidi"/>
          <w:sz w:val="22"/>
          <w:szCs w:val="22"/>
        </w:rPr>
        <w:t xml:space="preserve">Victorian Law holds that students under 10 years of age cannot commit a sexual offence. For guidance on responding to problem sexual behaviour in students under 10 and other forms of student sexualised behaviours which do not constitute student sexual offending please see Appendix 1 of the </w:t>
      </w:r>
      <w:hyperlink r:id="rId17">
        <w:r w:rsidRPr="00425C80">
          <w:rPr>
            <w:rStyle w:val="Hyperlink"/>
            <w:rFonts w:asciiTheme="minorHAnsi" w:eastAsiaTheme="minorHAnsi" w:hAnsiTheme="minorHAnsi" w:cstheme="minorBidi"/>
            <w:sz w:val="22"/>
            <w:szCs w:val="22"/>
            <w:lang w:eastAsia="en-US"/>
          </w:rPr>
          <w:t>PROTECT Identifying and responding to Student Sexual Offending</w:t>
        </w:r>
      </w:hyperlink>
      <w:r w:rsidRPr="004E6459">
        <w:rPr>
          <w:rFonts w:asciiTheme="minorHAnsi" w:eastAsiaTheme="minorEastAsia" w:hAnsiTheme="minorHAnsi" w:cstheme="minorBidi"/>
          <w:sz w:val="22"/>
          <w:szCs w:val="22"/>
        </w:rPr>
        <w:t xml:space="preserve"> </w:t>
      </w:r>
      <w:r w:rsidR="6094C689" w:rsidRPr="004E6459">
        <w:rPr>
          <w:rFonts w:asciiTheme="minorHAnsi" w:eastAsiaTheme="minorEastAsia" w:hAnsiTheme="minorHAnsi" w:cstheme="minorBidi"/>
          <w:sz w:val="22"/>
          <w:szCs w:val="22"/>
        </w:rPr>
        <w:t>document.</w:t>
      </w:r>
    </w:p>
    <w:p w14:paraId="0FD1527C" w14:textId="77777777" w:rsidR="00425C80" w:rsidRDefault="19C934DD" w:rsidP="005F2396">
      <w:pPr>
        <w:pStyle w:val="NormalWeb"/>
        <w:spacing w:before="0" w:beforeAutospacing="0" w:after="160" w:afterAutospacing="0" w:line="259" w:lineRule="auto"/>
        <w:jc w:val="both"/>
        <w:rPr>
          <w:rFonts w:asciiTheme="minorHAnsi" w:eastAsiaTheme="minorEastAsia" w:hAnsiTheme="minorHAnsi" w:cstheme="minorBidi"/>
          <w:sz w:val="22"/>
          <w:szCs w:val="22"/>
        </w:rPr>
      </w:pPr>
      <w:r w:rsidRPr="004E6459">
        <w:rPr>
          <w:rFonts w:asciiTheme="minorHAnsi" w:eastAsiaTheme="minorEastAsia" w:hAnsiTheme="minorHAnsi" w:cstheme="minorBidi"/>
          <w:sz w:val="22"/>
          <w:szCs w:val="22"/>
        </w:rPr>
        <w:t>Student sexual offending refers to sexual behaviour that is led by a student who is over 10 years of age and which may amount to a sexual offence. A sexual offence includes rape, sexual assault, indecent acts and other unwanted sexualised touching, all of which are offences under the Crimes Act 1958. There are many sexual offences that may amount to student sexual offending.</w:t>
      </w:r>
    </w:p>
    <w:p w14:paraId="4EFFBDC7" w14:textId="6C5618D0" w:rsidR="00425C80" w:rsidRDefault="00E820D9" w:rsidP="00091606">
      <w:pPr>
        <w:pStyle w:val="NormalWeb"/>
        <w:spacing w:before="0" w:beforeAutospacing="0" w:after="0" w:afterAutospacing="0" w:line="259" w:lineRule="auto"/>
        <w:jc w:val="both"/>
        <w:rPr>
          <w:rFonts w:asciiTheme="minorHAnsi" w:eastAsiaTheme="minorEastAsia" w:hAnsiTheme="minorHAnsi" w:cstheme="minorBidi"/>
          <w:sz w:val="22"/>
          <w:szCs w:val="22"/>
        </w:rPr>
      </w:pPr>
      <w:r w:rsidRPr="004E6459">
        <w:rPr>
          <w:rFonts w:asciiTheme="minorHAnsi" w:hAnsiTheme="minorHAnsi" w:cs="Arial"/>
          <w:sz w:val="22"/>
          <w:szCs w:val="22"/>
        </w:rPr>
        <w:t>For further definitions of all types of child abuse, a comprehensive list of the indicators of harm and advice on identifying perpetrators of child sexual abuse, refer to the protocol </w:t>
      </w:r>
      <w:hyperlink r:id="rId18">
        <w:r w:rsidRPr="004E6459">
          <w:rPr>
            <w:rStyle w:val="Emphasis"/>
            <w:rFonts w:asciiTheme="minorHAnsi" w:hAnsiTheme="minorHAnsi" w:cs="Arial"/>
            <w:sz w:val="22"/>
            <w:szCs w:val="22"/>
          </w:rPr>
          <w:t>Protect: Identifying and Responding to All</w:t>
        </w:r>
        <w:r w:rsidRPr="004E6459">
          <w:rPr>
            <w:rStyle w:val="Hyperlink"/>
            <w:rFonts w:asciiTheme="minorHAnsi" w:hAnsiTheme="minorHAnsi" w:cs="Arial"/>
            <w:color w:val="auto"/>
            <w:sz w:val="22"/>
            <w:szCs w:val="22"/>
          </w:rPr>
          <w:t> </w:t>
        </w:r>
        <w:r w:rsidRPr="004E6459">
          <w:rPr>
            <w:rStyle w:val="Emphasis"/>
            <w:rFonts w:asciiTheme="minorHAnsi" w:hAnsiTheme="minorHAnsi" w:cs="Arial"/>
            <w:sz w:val="22"/>
            <w:szCs w:val="22"/>
          </w:rPr>
          <w:t>Forms of Abuse in Victorian Schools</w:t>
        </w:r>
      </w:hyperlink>
      <w:r w:rsidR="1703107C" w:rsidRPr="004E6459">
        <w:t xml:space="preserve"> </w:t>
      </w:r>
      <w:r w:rsidR="1703107C" w:rsidRPr="004E6459">
        <w:rPr>
          <w:rFonts w:asciiTheme="minorHAnsi" w:eastAsiaTheme="minorEastAsia" w:hAnsiTheme="minorHAnsi" w:cstheme="minorBidi"/>
          <w:sz w:val="22"/>
          <w:szCs w:val="22"/>
        </w:rPr>
        <w:t xml:space="preserve">and </w:t>
      </w:r>
      <w:hyperlink r:id="rId19">
        <w:r w:rsidR="060150BA" w:rsidRPr="00425C80">
          <w:rPr>
            <w:rStyle w:val="Hyperlink"/>
            <w:rFonts w:asciiTheme="minorHAnsi" w:eastAsiaTheme="minorHAnsi" w:hAnsiTheme="minorHAnsi" w:cstheme="minorBidi"/>
            <w:sz w:val="22"/>
            <w:szCs w:val="22"/>
            <w:lang w:eastAsia="en-US"/>
          </w:rPr>
          <w:t xml:space="preserve">PROTECT Identifying and responding to Student </w:t>
        </w:r>
        <w:r w:rsidR="004E6459" w:rsidRPr="00425C80">
          <w:rPr>
            <w:rStyle w:val="Hyperlink"/>
            <w:rFonts w:asciiTheme="minorHAnsi" w:eastAsiaTheme="minorHAnsi" w:hAnsiTheme="minorHAnsi" w:cstheme="minorBidi"/>
            <w:sz w:val="22"/>
            <w:szCs w:val="22"/>
            <w:lang w:eastAsia="en-US"/>
          </w:rPr>
          <w:t>Sexual</w:t>
        </w:r>
        <w:r w:rsidR="060150BA" w:rsidRPr="00425C80">
          <w:rPr>
            <w:rStyle w:val="Hyperlink"/>
            <w:rFonts w:asciiTheme="minorHAnsi" w:eastAsiaTheme="minorHAnsi" w:hAnsiTheme="minorHAnsi" w:cstheme="minorBidi"/>
            <w:sz w:val="22"/>
            <w:szCs w:val="22"/>
            <w:lang w:eastAsia="en-US"/>
          </w:rPr>
          <w:t xml:space="preserve"> Offending</w:t>
        </w:r>
      </w:hyperlink>
      <w:r w:rsidR="060150BA" w:rsidRPr="004E6459">
        <w:rPr>
          <w:rFonts w:asciiTheme="minorHAnsi" w:eastAsiaTheme="minorEastAsia" w:hAnsiTheme="minorHAnsi" w:cstheme="minorBidi"/>
          <w:sz w:val="22"/>
          <w:szCs w:val="22"/>
        </w:rPr>
        <w:t>.</w:t>
      </w:r>
    </w:p>
    <w:p w14:paraId="4F2D678A" w14:textId="77777777" w:rsidR="00091606" w:rsidRDefault="00091606" w:rsidP="00091606">
      <w:pPr>
        <w:pStyle w:val="NormalWeb"/>
        <w:spacing w:before="0" w:beforeAutospacing="0" w:after="0" w:afterAutospacing="0"/>
        <w:jc w:val="both"/>
        <w:rPr>
          <w:sz w:val="22"/>
          <w:szCs w:val="22"/>
        </w:rPr>
      </w:pPr>
    </w:p>
    <w:p w14:paraId="7F3C9B74" w14:textId="3B2063F4" w:rsidR="00091606" w:rsidRPr="00457E2A" w:rsidRDefault="00E820D9" w:rsidP="00457E2A">
      <w:pPr>
        <w:pStyle w:val="NormalWeb"/>
        <w:spacing w:before="0" w:beforeAutospacing="0" w:after="160" w:afterAutospacing="0"/>
        <w:jc w:val="both"/>
        <w:rPr>
          <w:rStyle w:val="Emphasis"/>
          <w:rFonts w:asciiTheme="minorHAnsi" w:hAnsiTheme="minorHAnsi" w:cs="Arial"/>
          <w:b/>
          <w:bCs/>
          <w:i w:val="0"/>
          <w:iCs w:val="0"/>
        </w:rPr>
      </w:pPr>
      <w:r w:rsidRPr="0066190C">
        <w:rPr>
          <w:sz w:val="22"/>
          <w:szCs w:val="22"/>
        </w:rPr>
        <w:br/>
      </w:r>
      <w:r w:rsidRPr="00091606">
        <w:rPr>
          <w:rFonts w:asciiTheme="minorHAnsi" w:hAnsiTheme="minorHAnsi" w:cs="Arial"/>
          <w:b/>
          <w:bCs/>
        </w:rPr>
        <w:t>2. Sources of Child Protection Reporting Obligations</w:t>
      </w:r>
    </w:p>
    <w:p w14:paraId="149F7A51" w14:textId="67D02945" w:rsidR="00E820D9" w:rsidRPr="004E6459" w:rsidRDefault="00E820D9" w:rsidP="00457E2A">
      <w:pPr>
        <w:pStyle w:val="Heading6"/>
        <w:shd w:val="clear" w:color="auto" w:fill="FFFFFF"/>
        <w:spacing w:before="0" w:after="160"/>
        <w:jc w:val="both"/>
        <w:rPr>
          <w:rFonts w:asciiTheme="minorHAnsi" w:hAnsiTheme="minorHAnsi" w:cs="Arial"/>
          <w:b/>
          <w:bCs/>
          <w:color w:val="auto"/>
        </w:rPr>
      </w:pPr>
      <w:r w:rsidRPr="004E78BC">
        <w:rPr>
          <w:rStyle w:val="Emphasis"/>
          <w:rFonts w:asciiTheme="minorHAnsi" w:hAnsiTheme="minorHAnsi" w:cs="Arial"/>
          <w:b/>
          <w:bCs/>
          <w:i w:val="0"/>
          <w:iCs w:val="0"/>
          <w:color w:val="auto"/>
        </w:rPr>
        <w:t>2.1</w:t>
      </w:r>
      <w:r w:rsidRPr="004E6459">
        <w:rPr>
          <w:rStyle w:val="Emphasis"/>
          <w:rFonts w:asciiTheme="minorHAnsi" w:hAnsiTheme="minorHAnsi" w:cs="Arial"/>
          <w:b/>
          <w:bCs/>
          <w:color w:val="auto"/>
        </w:rPr>
        <w:t xml:space="preserve"> Children, Youth and Families Act 2005</w:t>
      </w:r>
      <w:r w:rsidRPr="004E6459">
        <w:rPr>
          <w:rFonts w:asciiTheme="minorHAnsi" w:hAnsiTheme="minorHAnsi" w:cs="Arial"/>
          <w:b/>
          <w:bCs/>
          <w:color w:val="auto"/>
        </w:rPr>
        <w:t> (Vic.)</w:t>
      </w:r>
    </w:p>
    <w:p w14:paraId="4524423A" w14:textId="77777777" w:rsidR="00E820D9" w:rsidRPr="004E6459" w:rsidRDefault="00E820D9" w:rsidP="00BF74E2">
      <w:pPr>
        <w:pStyle w:val="Heading6"/>
        <w:shd w:val="clear" w:color="auto" w:fill="FFFFFF"/>
        <w:spacing w:before="0" w:after="160"/>
        <w:jc w:val="both"/>
        <w:rPr>
          <w:rFonts w:asciiTheme="minorHAnsi" w:hAnsiTheme="minorHAnsi" w:cs="Arial"/>
          <w:bCs/>
          <w:color w:val="auto"/>
        </w:rPr>
      </w:pPr>
      <w:r w:rsidRPr="004E6459">
        <w:rPr>
          <w:rStyle w:val="Strong"/>
          <w:rFonts w:asciiTheme="minorHAnsi" w:hAnsiTheme="minorHAnsi" w:cs="Arial"/>
          <w:color w:val="auto"/>
        </w:rPr>
        <w:t>Mandatory reporting</w:t>
      </w:r>
    </w:p>
    <w:p w14:paraId="062F2464" w14:textId="77777777" w:rsidR="007F3D6F" w:rsidRDefault="00E820D9" w:rsidP="007F3D6F">
      <w:pPr>
        <w:jc w:val="both"/>
        <w:rPr>
          <w:rFonts w:cs="Arial"/>
          <w:shd w:val="clear" w:color="auto" w:fill="FFFFFF"/>
        </w:rPr>
      </w:pPr>
      <w:r w:rsidRPr="004E6459">
        <w:rPr>
          <w:rFonts w:cs="Arial"/>
          <w:shd w:val="clear" w:color="auto" w:fill="FFFFFF"/>
        </w:rPr>
        <w:t>Mandatory reporting is a legal requirement under the </w:t>
      </w:r>
      <w:r w:rsidRPr="004E6459">
        <w:rPr>
          <w:rStyle w:val="Emphasis"/>
          <w:rFonts w:cs="Arial"/>
          <w:shd w:val="clear" w:color="auto" w:fill="FFFFFF"/>
        </w:rPr>
        <w:t>Children, Youth and Families Act 2005 </w:t>
      </w:r>
      <w:r w:rsidRPr="004E6459">
        <w:rPr>
          <w:rFonts w:cs="Arial"/>
          <w:shd w:val="clear" w:color="auto" w:fill="FFFFFF"/>
        </w:rPr>
        <w:t>(Vic.) to protect children from harm relating to physical injury and sexual abuse. A child, for the purpose of the relevant parts of this Act</w:t>
      </w:r>
      <w:r w:rsidRPr="004E6459">
        <w:rPr>
          <w:rStyle w:val="Emphasis"/>
          <w:rFonts w:cs="Arial"/>
          <w:shd w:val="clear" w:color="auto" w:fill="FFFFFF"/>
        </w:rPr>
        <w:t>, </w:t>
      </w:r>
      <w:r w:rsidRPr="004E6459">
        <w:rPr>
          <w:rFonts w:cs="Arial"/>
          <w:shd w:val="clear" w:color="auto" w:fill="FFFFFF"/>
        </w:rPr>
        <w:t>is any person </w:t>
      </w:r>
      <w:r w:rsidRPr="004E6459">
        <w:rPr>
          <w:rStyle w:val="Strong"/>
          <w:rFonts w:cs="Arial"/>
          <w:shd w:val="clear" w:color="auto" w:fill="FFFFFF"/>
        </w:rPr>
        <w:t>17 years </w:t>
      </w:r>
      <w:r w:rsidRPr="004E6459">
        <w:rPr>
          <w:rFonts w:cs="Arial"/>
          <w:shd w:val="clear" w:color="auto" w:fill="FFFFFF"/>
        </w:rPr>
        <w:t>of age or younger. The principal, teachers, medical practitioners and nurses are mandatory reporters under this Act.</w:t>
      </w:r>
    </w:p>
    <w:p w14:paraId="3FD428CD" w14:textId="77777777" w:rsidR="007F3D6F" w:rsidRDefault="00E820D9" w:rsidP="007F3D6F">
      <w:pPr>
        <w:jc w:val="both"/>
        <w:rPr>
          <w:rFonts w:cs="Arial"/>
          <w:shd w:val="clear" w:color="auto" w:fill="FFFFFF"/>
        </w:rPr>
      </w:pPr>
      <w:r w:rsidRPr="004E6459">
        <w:rPr>
          <w:rFonts w:cs="Arial"/>
          <w:shd w:val="clear" w:color="auto" w:fill="FFFFFF"/>
        </w:rPr>
        <w:t>If, in the course of carrying out their duties, a mandatory reporter forms a </w:t>
      </w:r>
      <w:r w:rsidRPr="004E6459">
        <w:rPr>
          <w:rStyle w:val="Strong"/>
          <w:rFonts w:cs="Arial"/>
          <w:shd w:val="clear" w:color="auto" w:fill="FFFFFF"/>
        </w:rPr>
        <w:t>reasonable belief </w:t>
      </w:r>
      <w:r w:rsidRPr="004E6459">
        <w:rPr>
          <w:rFonts w:cs="Arial"/>
          <w:shd w:val="clear" w:color="auto" w:fill="FFFFFF"/>
        </w:rPr>
        <w:t>that a child is in need of protection from physical injury or sexual abuse, and that the </w:t>
      </w:r>
      <w:r w:rsidRPr="004E6459">
        <w:rPr>
          <w:rStyle w:val="Strong"/>
          <w:rFonts w:cs="Arial"/>
          <w:shd w:val="clear" w:color="auto" w:fill="FFFFFF"/>
        </w:rPr>
        <w:t>child’s parents are unwilling or unable to protect the child</w:t>
      </w:r>
      <w:r w:rsidRPr="004E6459">
        <w:rPr>
          <w:rFonts w:cs="Arial"/>
          <w:shd w:val="clear" w:color="auto" w:fill="FFFFFF"/>
        </w:rPr>
        <w:t>, they must report that belief to Department of Health and Human Services (DHHS) Child Protection and/or Victoria Police, including the information prescribed in </w:t>
      </w:r>
      <w:hyperlink r:id="rId20" w:tgtFrame="_blank" w:history="1">
        <w:r w:rsidRPr="004E6459">
          <w:rPr>
            <w:rStyle w:val="Emphasis"/>
            <w:rFonts w:cs="Arial"/>
            <w:shd w:val="clear" w:color="auto" w:fill="FFFFFF"/>
          </w:rPr>
          <w:t>Protect: Responding to Suspected Child Abuse: A Template for all Victorian Schools</w:t>
        </w:r>
      </w:hyperlink>
      <w:r w:rsidRPr="004E6459">
        <w:rPr>
          <w:rFonts w:cs="Arial"/>
          <w:shd w:val="clear" w:color="auto" w:fill="FFFFFF"/>
        </w:rPr>
        <w:t>, as soon as possible after forming the belief.</w:t>
      </w:r>
    </w:p>
    <w:p w14:paraId="41476EED" w14:textId="77777777" w:rsidR="007F3D6F" w:rsidRDefault="00E820D9" w:rsidP="007F3D6F">
      <w:pPr>
        <w:jc w:val="both"/>
        <w:rPr>
          <w:rFonts w:cs="Arial"/>
          <w:shd w:val="clear" w:color="auto" w:fill="FFFFFF"/>
        </w:rPr>
      </w:pPr>
      <w:r w:rsidRPr="004E6459">
        <w:rPr>
          <w:rFonts w:cs="Arial"/>
          <w:shd w:val="clear" w:color="auto" w:fill="FFFFFF"/>
        </w:rPr>
        <w:t>A subsequent report must be made on each occasion on which the mandatory reporter becomes aware of further reasonable grounds for the belief and even if the reporter knows that another report has been made concerning the same child and suspected abuse.</w:t>
      </w:r>
    </w:p>
    <w:p w14:paraId="2B8304DC" w14:textId="21662A39" w:rsidR="00C1530A" w:rsidRDefault="00E820D9" w:rsidP="00C1530A">
      <w:pPr>
        <w:spacing w:after="0"/>
        <w:jc w:val="both"/>
        <w:rPr>
          <w:rFonts w:cs="Arial"/>
          <w:shd w:val="clear" w:color="auto" w:fill="FFFFFF"/>
        </w:rPr>
      </w:pPr>
      <w:r w:rsidRPr="004E6459">
        <w:rPr>
          <w:rFonts w:cs="Arial"/>
          <w:shd w:val="clear" w:color="auto" w:fill="FFFFFF"/>
        </w:rPr>
        <w:t>The threshold for reporting child protection incidents, disclosures, concerns or suspicions has been set deliberately low by the joint protocol </w:t>
      </w:r>
      <w:hyperlink r:id="rId21" w:tgtFrame="_blank" w:history="1">
        <w:r w:rsidRPr="004E6459">
          <w:rPr>
            <w:rStyle w:val="Emphasis"/>
            <w:rFonts w:cs="Arial"/>
            <w:shd w:val="clear" w:color="auto" w:fill="FFFFFF"/>
          </w:rPr>
          <w:t>Protect: Identifying and Responding to All Forms of Abuse in Victorian</w:t>
        </w:r>
        <w:r w:rsidRPr="004E6459">
          <w:rPr>
            <w:rStyle w:val="Hyperlink"/>
            <w:rFonts w:cs="Arial"/>
            <w:color w:val="auto"/>
            <w:shd w:val="clear" w:color="auto" w:fill="FFFFFF"/>
          </w:rPr>
          <w:t> </w:t>
        </w:r>
        <w:r w:rsidRPr="004E6459">
          <w:rPr>
            <w:rStyle w:val="Emphasis"/>
            <w:rFonts w:cs="Arial"/>
            <w:shd w:val="clear" w:color="auto" w:fill="FFFFFF"/>
          </w:rPr>
          <w:t>Schools</w:t>
        </w:r>
      </w:hyperlink>
      <w:r w:rsidRPr="004E6459">
        <w:rPr>
          <w:rFonts w:cs="Arial"/>
          <w:shd w:val="clear" w:color="auto" w:fill="FFFFFF"/>
        </w:rPr>
        <w:t>. This protocol focuses on </w:t>
      </w:r>
      <w:hyperlink r:id="rId22" w:tgtFrame="_blank" w:history="1">
        <w:r w:rsidRPr="004E6459">
          <w:rPr>
            <w:rStyle w:val="Emphasis"/>
            <w:rFonts w:cs="Arial"/>
            <w:shd w:val="clear" w:color="auto" w:fill="FFFFFF"/>
          </w:rPr>
          <w:t>Four Critical Actions</w:t>
        </w:r>
      </w:hyperlink>
      <w:r w:rsidRPr="004E6459">
        <w:rPr>
          <w:rFonts w:cs="Arial"/>
          <w:shd w:val="clear" w:color="auto" w:fill="FFFFFF"/>
        </w:rPr>
        <w:t> </w:t>
      </w:r>
      <w:r w:rsidRPr="004E6459">
        <w:rPr>
          <w:rStyle w:val="Strong"/>
          <w:rFonts w:cs="Arial"/>
          <w:shd w:val="clear" w:color="auto" w:fill="FFFFFF"/>
        </w:rPr>
        <w:t>(refer to Appendix 1) </w:t>
      </w:r>
      <w:r w:rsidRPr="004E6459">
        <w:rPr>
          <w:rFonts w:cs="Arial"/>
          <w:shd w:val="clear" w:color="auto" w:fill="FFFFFF"/>
        </w:rPr>
        <w:t>that all school staff must take if they form a suspicion or reasonable belief that child abuse has occurred, or that a child is at risk of suffering abuse.</w:t>
      </w:r>
      <w:r w:rsidR="00C1530A">
        <w:rPr>
          <w:rFonts w:cs="Arial"/>
          <w:shd w:val="clear" w:color="auto" w:fill="FFFFFF"/>
        </w:rPr>
        <w:br w:type="page"/>
      </w:r>
    </w:p>
    <w:p w14:paraId="71BC0449" w14:textId="77777777" w:rsidR="00E820D9" w:rsidRPr="004E6459" w:rsidRDefault="00E820D9" w:rsidP="00BF74E2">
      <w:pPr>
        <w:pStyle w:val="Heading6"/>
        <w:shd w:val="clear" w:color="auto" w:fill="FFFFFF"/>
        <w:spacing w:before="0" w:after="160"/>
        <w:rPr>
          <w:rFonts w:asciiTheme="minorHAnsi" w:hAnsiTheme="minorHAnsi" w:cs="Arial"/>
          <w:color w:val="auto"/>
        </w:rPr>
      </w:pPr>
      <w:r w:rsidRPr="004E6459">
        <w:rPr>
          <w:rStyle w:val="Strong"/>
          <w:rFonts w:asciiTheme="minorHAnsi" w:hAnsiTheme="minorHAnsi" w:cs="Arial"/>
          <w:color w:val="auto"/>
        </w:rPr>
        <w:lastRenderedPageBreak/>
        <w:t>Reasonable belief</w:t>
      </w:r>
    </w:p>
    <w:p w14:paraId="6CDD5912" w14:textId="77777777" w:rsidR="00C04B07" w:rsidRDefault="00E820D9" w:rsidP="00C04B07">
      <w:pPr>
        <w:jc w:val="both"/>
        <w:rPr>
          <w:rFonts w:cs="Arial"/>
          <w:shd w:val="clear" w:color="auto" w:fill="FFFFFF"/>
        </w:rPr>
      </w:pPr>
      <w:r w:rsidRPr="004E6459">
        <w:rPr>
          <w:rFonts w:cs="Arial"/>
          <w:shd w:val="clear" w:color="auto" w:fill="FFFFFF"/>
        </w:rPr>
        <w:t>Where school staff members are concerned about the safety and wellbeing of a child or young person, they must assess that concern to determine if a report should be made to the relevant agency. If a staff member has witnessed potentially abusive behaviour, has a suspicion or has received a disclosure of child abuse, they must determine whether these observations or receipt of such information have caused the staff member to form a ‘reasonable belief’.</w:t>
      </w:r>
    </w:p>
    <w:p w14:paraId="3D9E6511" w14:textId="77777777" w:rsidR="00C04B07" w:rsidRDefault="00E820D9" w:rsidP="00C04B07">
      <w:pPr>
        <w:jc w:val="both"/>
        <w:rPr>
          <w:rStyle w:val="Strong"/>
          <w:rFonts w:cs="Arial"/>
          <w:shd w:val="clear" w:color="auto" w:fill="FFFFFF"/>
        </w:rPr>
      </w:pPr>
      <w:r w:rsidRPr="004E6459">
        <w:rPr>
          <w:rFonts w:cs="Arial"/>
          <w:shd w:val="clear" w:color="auto" w:fill="FFFFFF"/>
        </w:rPr>
        <w:t>A ‘reasonable belief’ or a ‘belief on reasonable grounds’ is not the same as having proof, but is more than rumour or speculation. </w:t>
      </w:r>
      <w:r w:rsidRPr="004E6459">
        <w:rPr>
          <w:rStyle w:val="Strong"/>
          <w:rFonts w:cs="Arial"/>
          <w:shd w:val="clear" w:color="auto" w:fill="FFFFFF"/>
        </w:rPr>
        <w:t>A reasonable belief is formed if a reasonable person in the same position would have formed the belief on the same grounds.</w:t>
      </w:r>
    </w:p>
    <w:p w14:paraId="54FD64A5" w14:textId="0530D66A" w:rsidR="00E820D9" w:rsidRPr="004E6459" w:rsidRDefault="00E820D9" w:rsidP="00C00ABA">
      <w:pPr>
        <w:spacing w:after="0"/>
        <w:jc w:val="both"/>
        <w:rPr>
          <w:rFonts w:cs="Times New Roman"/>
        </w:rPr>
      </w:pPr>
      <w:r w:rsidRPr="004E6459">
        <w:rPr>
          <w:rFonts w:cs="Arial"/>
          <w:shd w:val="clear" w:color="auto" w:fill="FFFFFF"/>
        </w:rPr>
        <w:t>A reasonable belief might be formed if:</w:t>
      </w:r>
    </w:p>
    <w:p w14:paraId="180AFF29" w14:textId="1D4792A8" w:rsidR="00E820D9" w:rsidRPr="004E6459" w:rsidRDefault="00E820D9" w:rsidP="00C00ABA">
      <w:pPr>
        <w:numPr>
          <w:ilvl w:val="0"/>
          <w:numId w:val="4"/>
        </w:numPr>
        <w:shd w:val="clear" w:color="auto" w:fill="FFFFFF" w:themeFill="background1"/>
        <w:spacing w:before="60" w:after="0"/>
        <w:ind w:left="714" w:hanging="357"/>
        <w:jc w:val="both"/>
        <w:rPr>
          <w:rFonts w:cs="Arial"/>
        </w:rPr>
      </w:pPr>
      <w:r w:rsidRPr="004E6459">
        <w:rPr>
          <w:rFonts w:cs="Arial"/>
        </w:rPr>
        <w:t xml:space="preserve">a child </w:t>
      </w:r>
      <w:r w:rsidR="4636AFEE" w:rsidRPr="004E6459">
        <w:rPr>
          <w:rFonts w:cs="Arial"/>
        </w:rPr>
        <w:t xml:space="preserve">or young person </w:t>
      </w:r>
      <w:r w:rsidRPr="004E6459">
        <w:rPr>
          <w:rFonts w:cs="Arial"/>
        </w:rPr>
        <w:t>states that they have been physically or sexually abused</w:t>
      </w:r>
    </w:p>
    <w:p w14:paraId="78EB8CFA" w14:textId="35BF9C67" w:rsidR="00E820D9" w:rsidRPr="004E6459" w:rsidRDefault="00E820D9" w:rsidP="00C00ABA">
      <w:pPr>
        <w:numPr>
          <w:ilvl w:val="0"/>
          <w:numId w:val="4"/>
        </w:numPr>
        <w:shd w:val="clear" w:color="auto" w:fill="FFFFFF" w:themeFill="background1"/>
        <w:spacing w:before="60" w:after="0"/>
        <w:ind w:left="714" w:hanging="357"/>
        <w:jc w:val="both"/>
        <w:rPr>
          <w:rFonts w:eastAsiaTheme="minorEastAsia"/>
        </w:rPr>
      </w:pPr>
      <w:r w:rsidRPr="004E6459">
        <w:rPr>
          <w:rFonts w:cs="Arial"/>
        </w:rPr>
        <w:t xml:space="preserve">any person tells you that they believe someone has been abused; this may include a </w:t>
      </w:r>
      <w:r w:rsidR="5A1929E1" w:rsidRPr="004E6459">
        <w:rPr>
          <w:rFonts w:cs="Arial"/>
        </w:rPr>
        <w:t>child or young person</w:t>
      </w:r>
      <w:r w:rsidRPr="004E6459">
        <w:rPr>
          <w:rFonts w:cs="Arial"/>
        </w:rPr>
        <w:t xml:space="preserve"> who is talking about themselves</w:t>
      </w:r>
    </w:p>
    <w:p w14:paraId="7F8C3ECA" w14:textId="77777777" w:rsidR="00E820D9" w:rsidRPr="004E6459" w:rsidRDefault="00E820D9" w:rsidP="00C00ABA">
      <w:pPr>
        <w:numPr>
          <w:ilvl w:val="0"/>
          <w:numId w:val="4"/>
        </w:numPr>
        <w:shd w:val="clear" w:color="auto" w:fill="FFFFFF"/>
        <w:spacing w:before="60" w:after="0"/>
        <w:ind w:left="714" w:hanging="357"/>
        <w:jc w:val="both"/>
        <w:rPr>
          <w:rFonts w:cs="Arial"/>
        </w:rPr>
      </w:pPr>
      <w:r w:rsidRPr="004E6459">
        <w:rPr>
          <w:rFonts w:cs="Arial"/>
        </w:rPr>
        <w:t>you observe physical or behavioural indicators of abuse, as described in </w:t>
      </w:r>
      <w:hyperlink r:id="rId23" w:tgtFrame="_blank" w:history="1">
        <w:r w:rsidRPr="004E6459">
          <w:rPr>
            <w:rStyle w:val="Emphasis"/>
            <w:rFonts w:cs="Arial"/>
          </w:rPr>
          <w:t>Protect: Identifying and Responding to All Forms of Abuse in Victorian Schools</w:t>
        </w:r>
      </w:hyperlink>
    </w:p>
    <w:p w14:paraId="4251C1D8" w14:textId="77777777" w:rsidR="00E820D9" w:rsidRPr="004E6459" w:rsidRDefault="00E820D9" w:rsidP="00C00ABA">
      <w:pPr>
        <w:numPr>
          <w:ilvl w:val="0"/>
          <w:numId w:val="4"/>
        </w:numPr>
        <w:shd w:val="clear" w:color="auto" w:fill="FFFFFF"/>
        <w:spacing w:before="60" w:after="0"/>
        <w:ind w:left="714" w:hanging="357"/>
        <w:jc w:val="both"/>
        <w:rPr>
          <w:rFonts w:cs="Arial"/>
        </w:rPr>
      </w:pPr>
      <w:r w:rsidRPr="004E6459">
        <w:rPr>
          <w:rFonts w:cs="Arial"/>
        </w:rPr>
        <w:t>a child or young person exhibits sexually abusive or age-inappropriate behaviour(s)</w:t>
      </w:r>
    </w:p>
    <w:p w14:paraId="55865C0D" w14:textId="77777777" w:rsidR="00E820D9" w:rsidRPr="004E6459" w:rsidRDefault="00E820D9" w:rsidP="00C00ABA">
      <w:pPr>
        <w:numPr>
          <w:ilvl w:val="0"/>
          <w:numId w:val="4"/>
        </w:numPr>
        <w:shd w:val="clear" w:color="auto" w:fill="FFFFFF"/>
        <w:spacing w:before="60" w:after="0"/>
        <w:ind w:left="714" w:hanging="357"/>
        <w:jc w:val="both"/>
        <w:rPr>
          <w:rFonts w:cs="Arial"/>
        </w:rPr>
      </w:pPr>
      <w:r w:rsidRPr="004E6459">
        <w:rPr>
          <w:rFonts w:cs="Arial"/>
        </w:rPr>
        <w:t>professional observations of the child’s behaviour or development cause you to form a belief that the child has been physically or sexually abused or is likely to be abused.</w:t>
      </w:r>
    </w:p>
    <w:p w14:paraId="1E863DBC" w14:textId="68727562" w:rsidR="00E820D9" w:rsidRPr="004E6459" w:rsidRDefault="00E820D9" w:rsidP="01172594">
      <w:pPr>
        <w:spacing w:after="0"/>
        <w:jc w:val="both"/>
        <w:rPr>
          <w:rFonts w:cs="Times New Roman"/>
        </w:rPr>
      </w:pPr>
      <w:r w:rsidRPr="004E6459">
        <w:rPr>
          <w:rFonts w:cs="Arial"/>
        </w:rPr>
        <w:br/>
      </w:r>
      <w:r w:rsidRPr="004E6459">
        <w:rPr>
          <w:rFonts w:cs="Arial"/>
          <w:shd w:val="clear" w:color="auto" w:fill="FFFFFF"/>
        </w:rPr>
        <w:t xml:space="preserve">While any indicators of possible child abuse or neglect are concerning, it is important to understand that the presence of a number of indicators that suggest either physical or sexual abuse of a </w:t>
      </w:r>
      <w:r w:rsidR="0EE82DA6" w:rsidRPr="004E6459">
        <w:rPr>
          <w:rFonts w:cs="Arial"/>
        </w:rPr>
        <w:t>child or young person</w:t>
      </w:r>
      <w:r w:rsidRPr="004E6459">
        <w:rPr>
          <w:rFonts w:cs="Arial"/>
          <w:shd w:val="clear" w:color="auto" w:fill="FFFFFF"/>
        </w:rPr>
        <w:t xml:space="preserve"> may be sufficient to form a reasonable belief in a mandatory reporter’s mind which </w:t>
      </w:r>
      <w:r w:rsidRPr="004E6459">
        <w:rPr>
          <w:rStyle w:val="Strong"/>
          <w:rFonts w:cs="Arial"/>
          <w:shd w:val="clear" w:color="auto" w:fill="FFFFFF"/>
        </w:rPr>
        <w:t>must </w:t>
      </w:r>
      <w:r w:rsidRPr="004E6459">
        <w:rPr>
          <w:rFonts w:cs="Arial"/>
          <w:shd w:val="clear" w:color="auto" w:fill="FFFFFF"/>
        </w:rPr>
        <w:t>be reported.</w:t>
      </w:r>
    </w:p>
    <w:p w14:paraId="1EFB1510" w14:textId="0A0E0D84" w:rsidR="00E820D9" w:rsidRPr="00C00ABA" w:rsidRDefault="00E820D9" w:rsidP="00C00ABA">
      <w:pPr>
        <w:pStyle w:val="NormalWeb"/>
        <w:shd w:val="clear" w:color="auto" w:fill="FFFFFF"/>
        <w:spacing w:before="0" w:beforeAutospacing="0" w:after="0" w:afterAutospacing="0"/>
        <w:jc w:val="both"/>
        <w:rPr>
          <w:rFonts w:asciiTheme="minorHAnsi" w:hAnsiTheme="minorHAnsi" w:cs="Arial"/>
          <w:sz w:val="22"/>
          <w:szCs w:val="22"/>
        </w:rPr>
      </w:pPr>
      <w:r w:rsidRPr="004E6459">
        <w:rPr>
          <w:rFonts w:asciiTheme="minorHAnsi" w:hAnsiTheme="minorHAnsi" w:cs="Arial"/>
          <w:sz w:val="22"/>
          <w:szCs w:val="22"/>
        </w:rPr>
        <w:t> </w:t>
      </w:r>
    </w:p>
    <w:p w14:paraId="58293D6B" w14:textId="77777777" w:rsidR="00C00ABA" w:rsidRPr="00C00ABA" w:rsidRDefault="00C00ABA" w:rsidP="00C00ABA">
      <w:pPr>
        <w:pStyle w:val="NormalWeb"/>
        <w:shd w:val="clear" w:color="auto" w:fill="FFFFFF"/>
        <w:spacing w:before="0" w:beforeAutospacing="0" w:after="0" w:afterAutospacing="0"/>
        <w:jc w:val="both"/>
        <w:rPr>
          <w:rFonts w:asciiTheme="minorHAnsi" w:hAnsiTheme="minorHAnsi" w:cs="Arial"/>
          <w:sz w:val="22"/>
          <w:szCs w:val="22"/>
        </w:rPr>
      </w:pPr>
    </w:p>
    <w:p w14:paraId="2163D065" w14:textId="77777777" w:rsidR="00E820D9" w:rsidRPr="004E6459" w:rsidRDefault="00E820D9" w:rsidP="004B0838">
      <w:pPr>
        <w:pStyle w:val="Heading6"/>
        <w:shd w:val="clear" w:color="auto" w:fill="FFFFFF"/>
        <w:spacing w:before="0" w:after="240"/>
        <w:jc w:val="both"/>
        <w:rPr>
          <w:rFonts w:asciiTheme="minorHAnsi" w:hAnsiTheme="minorHAnsi" w:cs="Arial"/>
          <w:color w:val="auto"/>
        </w:rPr>
      </w:pPr>
      <w:r w:rsidRPr="004E78BC">
        <w:rPr>
          <w:rStyle w:val="Emphasis"/>
          <w:rFonts w:asciiTheme="minorHAnsi" w:hAnsiTheme="minorHAnsi" w:cs="Arial"/>
          <w:b/>
          <w:bCs/>
          <w:i w:val="0"/>
          <w:iCs w:val="0"/>
          <w:color w:val="auto"/>
        </w:rPr>
        <w:t>2.2</w:t>
      </w:r>
      <w:r w:rsidRPr="004E6459">
        <w:rPr>
          <w:rStyle w:val="Emphasis"/>
          <w:rFonts w:asciiTheme="minorHAnsi" w:hAnsiTheme="minorHAnsi" w:cs="Arial"/>
          <w:b/>
          <w:bCs/>
          <w:color w:val="auto"/>
        </w:rPr>
        <w:t xml:space="preserve"> Child Wellbeing and Safety Act 2005 </w:t>
      </w:r>
      <w:r w:rsidRPr="004E78BC">
        <w:rPr>
          <w:rStyle w:val="Emphasis"/>
          <w:rFonts w:asciiTheme="minorHAnsi" w:hAnsiTheme="minorHAnsi" w:cs="Arial"/>
          <w:b/>
          <w:bCs/>
          <w:i w:val="0"/>
          <w:iCs w:val="0"/>
          <w:color w:val="auto"/>
        </w:rPr>
        <w:t>(Vic.)</w:t>
      </w:r>
    </w:p>
    <w:p w14:paraId="0D3E7468" w14:textId="77777777" w:rsidR="00E820D9" w:rsidRPr="00BF74E2" w:rsidRDefault="00E820D9" w:rsidP="00BF74E2">
      <w:pPr>
        <w:pStyle w:val="Heading6"/>
        <w:shd w:val="clear" w:color="auto" w:fill="FFFFFF"/>
        <w:spacing w:before="0" w:after="160"/>
        <w:jc w:val="both"/>
        <w:rPr>
          <w:rFonts w:asciiTheme="minorHAnsi" w:hAnsiTheme="minorHAnsi" w:cs="Arial"/>
          <w:b/>
          <w:bCs/>
          <w:i/>
          <w:iCs/>
          <w:color w:val="auto"/>
        </w:rPr>
      </w:pPr>
      <w:r w:rsidRPr="00BF74E2">
        <w:rPr>
          <w:rStyle w:val="Emphasis"/>
          <w:rFonts w:asciiTheme="minorHAnsi" w:hAnsiTheme="minorHAnsi" w:cs="Arial"/>
          <w:b/>
          <w:i w:val="0"/>
          <w:iCs w:val="0"/>
          <w:color w:val="auto"/>
        </w:rPr>
        <w:t>Reportable conduct</w:t>
      </w:r>
    </w:p>
    <w:p w14:paraId="2CE1B746" w14:textId="77777777" w:rsidR="00BF74E2" w:rsidRDefault="00E820D9" w:rsidP="00BF74E2">
      <w:pPr>
        <w:pStyle w:val="NormalWeb"/>
        <w:shd w:val="clear" w:color="auto" w:fill="FFFFFF" w:themeFill="background1"/>
        <w:spacing w:before="0" w:beforeAutospacing="0" w:after="160" w:afterAutospacing="0" w:line="259" w:lineRule="auto"/>
        <w:jc w:val="both"/>
        <w:rPr>
          <w:rFonts w:asciiTheme="minorHAnsi" w:hAnsiTheme="minorHAnsi" w:cs="Arial"/>
          <w:sz w:val="22"/>
          <w:szCs w:val="22"/>
        </w:rPr>
      </w:pPr>
      <w:r w:rsidRPr="004E6459">
        <w:rPr>
          <w:rFonts w:asciiTheme="minorHAnsi" w:hAnsiTheme="minorHAnsi" w:cs="Arial"/>
          <w:sz w:val="22"/>
          <w:szCs w:val="22"/>
        </w:rPr>
        <w:t>The Reportable Conduct Scheme was created under the </w:t>
      </w:r>
      <w:r w:rsidRPr="004E6459">
        <w:rPr>
          <w:rStyle w:val="Emphasis"/>
          <w:rFonts w:asciiTheme="minorHAnsi" w:hAnsiTheme="minorHAnsi" w:cs="Arial"/>
          <w:sz w:val="22"/>
          <w:szCs w:val="22"/>
        </w:rPr>
        <w:t>Child Wellbeing and Safety Act 2005</w:t>
      </w:r>
      <w:r w:rsidRPr="004E6459">
        <w:rPr>
          <w:rFonts w:asciiTheme="minorHAnsi" w:hAnsiTheme="minorHAnsi" w:cs="Arial"/>
          <w:sz w:val="22"/>
          <w:szCs w:val="22"/>
        </w:rPr>
        <w:t> (Vic.) and requires schools to notify the Commission for Children and Young People (CCYP) if an allegation of reportable conduct (a reportable allegation) is made against one of their employees.</w:t>
      </w:r>
    </w:p>
    <w:p w14:paraId="5E3C5FFC" w14:textId="77777777" w:rsidR="00BF74E2" w:rsidRDefault="00E820D9" w:rsidP="00BF74E2">
      <w:pPr>
        <w:pStyle w:val="NormalWeb"/>
        <w:shd w:val="clear" w:color="auto" w:fill="FFFFFF" w:themeFill="background1"/>
        <w:spacing w:before="0" w:beforeAutospacing="0" w:after="160" w:afterAutospacing="0" w:line="259" w:lineRule="auto"/>
        <w:jc w:val="both"/>
        <w:rPr>
          <w:rFonts w:asciiTheme="minorHAnsi" w:hAnsiTheme="minorHAnsi" w:cs="Arial"/>
          <w:sz w:val="22"/>
          <w:szCs w:val="22"/>
        </w:rPr>
      </w:pPr>
      <w:r w:rsidRPr="004E6459">
        <w:rPr>
          <w:rStyle w:val="Strong"/>
          <w:rFonts w:asciiTheme="minorHAnsi" w:eastAsiaTheme="majorEastAsia" w:hAnsiTheme="minorHAnsi" w:cs="Arial"/>
          <w:sz w:val="22"/>
          <w:szCs w:val="22"/>
        </w:rPr>
        <w:t>Employees </w:t>
      </w:r>
      <w:r w:rsidRPr="004E6459">
        <w:rPr>
          <w:rFonts w:asciiTheme="minorHAnsi" w:hAnsiTheme="minorHAnsi" w:cs="Arial"/>
          <w:sz w:val="22"/>
          <w:szCs w:val="22"/>
        </w:rPr>
        <w:t>can include a principal, teacher, corporate staff member, board or school council employee, contractor, volunteer, school doctor/nurse/medical professional, allied health staff member, or minister of religion or religious leader.</w:t>
      </w:r>
    </w:p>
    <w:p w14:paraId="792ED681" w14:textId="77777777" w:rsidR="00BF74E2" w:rsidRDefault="00E820D9" w:rsidP="00BF74E2">
      <w:pPr>
        <w:pStyle w:val="NormalWeb"/>
        <w:shd w:val="clear" w:color="auto" w:fill="FFFFFF" w:themeFill="background1"/>
        <w:spacing w:before="0" w:beforeAutospacing="0" w:after="160" w:afterAutospacing="0" w:line="259" w:lineRule="auto"/>
        <w:jc w:val="both"/>
      </w:pPr>
      <w:r w:rsidRPr="004E6459">
        <w:rPr>
          <w:rStyle w:val="Strong"/>
          <w:rFonts w:asciiTheme="minorHAnsi" w:eastAsiaTheme="majorEastAsia" w:hAnsiTheme="minorHAnsi" w:cs="Arial"/>
          <w:sz w:val="22"/>
          <w:szCs w:val="22"/>
        </w:rPr>
        <w:t>Reportable conduct</w:t>
      </w:r>
      <w:r w:rsidRPr="004E6459">
        <w:rPr>
          <w:rFonts w:asciiTheme="minorHAnsi" w:hAnsiTheme="minorHAnsi" w:cs="Arial"/>
          <w:sz w:val="22"/>
          <w:szCs w:val="22"/>
        </w:rPr>
        <w:t> is defined under the </w:t>
      </w:r>
      <w:r w:rsidRPr="004E6459">
        <w:rPr>
          <w:rStyle w:val="Emphasis"/>
          <w:rFonts w:asciiTheme="minorHAnsi" w:hAnsiTheme="minorHAnsi" w:cs="Arial"/>
          <w:sz w:val="22"/>
          <w:szCs w:val="22"/>
        </w:rPr>
        <w:t>Child Wellbeing and Safety Act 2005</w:t>
      </w:r>
      <w:r w:rsidRPr="004E6459">
        <w:rPr>
          <w:rFonts w:asciiTheme="minorHAnsi" w:hAnsiTheme="minorHAnsi" w:cs="Arial"/>
          <w:sz w:val="22"/>
          <w:szCs w:val="22"/>
        </w:rPr>
        <w:t> (Vic.) to mean a sexual offence, sexual misconduct or physical violence committed against, with or in the presence of a child, behaviour causing significant emotional or psychological harm to a child, or significant neglect of a child.</w:t>
      </w:r>
      <w:r w:rsidR="6AA1D416" w:rsidRPr="004E6459">
        <w:rPr>
          <w:rFonts w:asciiTheme="minorHAnsi" w:hAnsiTheme="minorHAnsi" w:cs="Arial"/>
          <w:sz w:val="22"/>
          <w:szCs w:val="22"/>
        </w:rPr>
        <w:t xml:space="preserve"> </w:t>
      </w:r>
      <w:r w:rsidR="6AA1D416" w:rsidRPr="004E6459">
        <w:rPr>
          <w:rFonts w:asciiTheme="minorHAnsi" w:eastAsiaTheme="minorEastAsia" w:hAnsiTheme="minorHAnsi" w:cstheme="minorBidi"/>
          <w:sz w:val="22"/>
          <w:szCs w:val="22"/>
        </w:rPr>
        <w:t xml:space="preserve">Further information on types of reportable conduct can be found in </w:t>
      </w:r>
      <w:hyperlink r:id="rId24" w:anchor="Whats-RCS">
        <w:r w:rsidR="03A7A0D8" w:rsidRPr="008C3634">
          <w:rPr>
            <w:rStyle w:val="Hyperlink"/>
            <w:rFonts w:asciiTheme="minorHAnsi" w:eastAsia="Calibri" w:hAnsiTheme="minorHAnsi" w:cstheme="minorHAnsi"/>
            <w:sz w:val="22"/>
            <w:szCs w:val="22"/>
          </w:rPr>
          <w:t>What is reportable conduct?</w:t>
        </w:r>
        <w:r w:rsidR="03A7A0D8" w:rsidRPr="004E6459">
          <w:rPr>
            <w:rStyle w:val="Hyperlink"/>
            <w:rFonts w:asciiTheme="minorHAnsi" w:eastAsiaTheme="minorEastAsia" w:hAnsiTheme="minorHAnsi" w:cstheme="minorBidi"/>
            <w:color w:val="auto"/>
            <w:sz w:val="22"/>
            <w:szCs w:val="22"/>
          </w:rPr>
          <w:t xml:space="preserve"> </w:t>
        </w:r>
      </w:hyperlink>
    </w:p>
    <w:p w14:paraId="52013E7C" w14:textId="77777777" w:rsidR="00BF74E2" w:rsidRDefault="00E820D9" w:rsidP="00BF74E2">
      <w:pPr>
        <w:pStyle w:val="NormalWeb"/>
        <w:shd w:val="clear" w:color="auto" w:fill="FFFFFF" w:themeFill="background1"/>
        <w:spacing w:before="0" w:beforeAutospacing="0" w:after="160" w:afterAutospacing="0"/>
        <w:jc w:val="both"/>
        <w:rPr>
          <w:rFonts w:asciiTheme="minorHAnsi" w:hAnsiTheme="minorHAnsi" w:cs="Arial"/>
          <w:sz w:val="22"/>
          <w:szCs w:val="22"/>
        </w:rPr>
      </w:pPr>
      <w:r w:rsidRPr="004E6459">
        <w:rPr>
          <w:rFonts w:asciiTheme="minorHAnsi" w:hAnsiTheme="minorHAnsi" w:cs="Arial"/>
          <w:sz w:val="22"/>
          <w:szCs w:val="22"/>
        </w:rPr>
        <w:t>A </w:t>
      </w:r>
      <w:r w:rsidRPr="004E6459">
        <w:rPr>
          <w:rStyle w:val="Strong"/>
          <w:rFonts w:asciiTheme="minorHAnsi" w:eastAsiaTheme="majorEastAsia" w:hAnsiTheme="minorHAnsi" w:cs="Arial"/>
          <w:sz w:val="22"/>
          <w:szCs w:val="22"/>
        </w:rPr>
        <w:t>reportable allegation</w:t>
      </w:r>
      <w:r w:rsidRPr="004E6459">
        <w:rPr>
          <w:rFonts w:asciiTheme="minorHAnsi" w:hAnsiTheme="minorHAnsi" w:cs="Arial"/>
          <w:sz w:val="22"/>
          <w:szCs w:val="22"/>
        </w:rPr>
        <w:t> means any information that leads a person to form a reasonable belief that an employee has committed reportable conduct or misconduct that may involve reportable conduct, whether or not the conduct or misconduct is alleged to have occurred within the course of the person’s employment.</w:t>
      </w:r>
    </w:p>
    <w:p w14:paraId="300478B9" w14:textId="78543850" w:rsidR="00E820D9" w:rsidRPr="000F367C" w:rsidRDefault="00E820D9" w:rsidP="00BF74E2">
      <w:pPr>
        <w:pStyle w:val="NormalWeb"/>
        <w:shd w:val="clear" w:color="auto" w:fill="FFFFFF" w:themeFill="background1"/>
        <w:spacing w:before="0" w:beforeAutospacing="0" w:after="0" w:afterAutospacing="0"/>
        <w:jc w:val="both"/>
        <w:rPr>
          <w:rFonts w:asciiTheme="minorHAnsi" w:hAnsiTheme="minorHAnsi" w:cstheme="minorHAnsi"/>
          <w:sz w:val="22"/>
          <w:szCs w:val="22"/>
        </w:rPr>
      </w:pPr>
      <w:r w:rsidRPr="000F367C">
        <w:rPr>
          <w:rFonts w:asciiTheme="minorHAnsi" w:hAnsiTheme="minorHAnsi" w:cstheme="minorHAnsi"/>
          <w:sz w:val="22"/>
          <w:szCs w:val="22"/>
        </w:rPr>
        <w:lastRenderedPageBreak/>
        <w:t>The Reportable Conduct Scheme imposes obligations on the head of entity (governing authority). For DOBCEL schools, the head of entity (Director of Catholic Education) is required to:</w:t>
      </w:r>
    </w:p>
    <w:p w14:paraId="36981ADD" w14:textId="77777777" w:rsidR="00E820D9" w:rsidRPr="000F367C" w:rsidRDefault="00E820D9" w:rsidP="00BF74E2">
      <w:pPr>
        <w:numPr>
          <w:ilvl w:val="0"/>
          <w:numId w:val="5"/>
        </w:numPr>
        <w:shd w:val="clear" w:color="auto" w:fill="FFFFFF"/>
        <w:spacing w:before="60" w:after="0" w:line="240" w:lineRule="auto"/>
        <w:ind w:left="714" w:hanging="357"/>
        <w:rPr>
          <w:rFonts w:cstheme="minorHAnsi"/>
        </w:rPr>
      </w:pPr>
      <w:r w:rsidRPr="000F367C">
        <w:rPr>
          <w:rFonts w:cstheme="minorHAnsi"/>
        </w:rPr>
        <w:t>have in place systems to prevent reportable conduct and, if reportable conduct is alleged, to ensure allegations can be brought to the attention of appropriate persons for investigation and response</w:t>
      </w:r>
    </w:p>
    <w:p w14:paraId="044B58F8" w14:textId="278AD614" w:rsidR="00E820D9" w:rsidRPr="000F367C" w:rsidRDefault="00E820D9" w:rsidP="00BF74E2">
      <w:pPr>
        <w:numPr>
          <w:ilvl w:val="0"/>
          <w:numId w:val="5"/>
        </w:numPr>
        <w:shd w:val="clear" w:color="auto" w:fill="FFFFFF" w:themeFill="background1"/>
        <w:spacing w:before="60" w:after="0" w:line="240" w:lineRule="auto"/>
        <w:ind w:left="714" w:hanging="357"/>
        <w:rPr>
          <w:rFonts w:eastAsiaTheme="minorEastAsia" w:cstheme="minorHAnsi"/>
        </w:rPr>
      </w:pPr>
      <w:r w:rsidRPr="000F367C">
        <w:rPr>
          <w:rFonts w:cstheme="minorHAnsi"/>
        </w:rPr>
        <w:t xml:space="preserve">ensure that the CCYP is notified and given updates on the organisation’s response to a reportable allegation by contacting </w:t>
      </w:r>
      <w:r w:rsidR="0964D888" w:rsidRPr="000F367C">
        <w:rPr>
          <w:rFonts w:eastAsiaTheme="minorEastAsia" w:cstheme="minorHAnsi"/>
        </w:rPr>
        <w:t xml:space="preserve"> the Manager Safeguarding and Standards on (03) 5337 7175 or</w:t>
      </w:r>
      <w:r w:rsidR="0964D888" w:rsidRPr="000F367C">
        <w:rPr>
          <w:rFonts w:cstheme="minorHAnsi"/>
        </w:rPr>
        <w:t xml:space="preserve"> </w:t>
      </w:r>
      <w:hyperlink r:id="rId25">
        <w:r w:rsidR="0964D888" w:rsidRPr="000F367C">
          <w:rPr>
            <w:rStyle w:val="Hyperlink"/>
            <w:rFonts w:eastAsia="Calibri" w:cstheme="minorHAnsi"/>
          </w:rPr>
          <w:t>safeguarding@ceob.edu.au</w:t>
        </w:r>
      </w:hyperlink>
    </w:p>
    <w:p w14:paraId="59A0DCE9" w14:textId="77777777" w:rsidR="00E820D9" w:rsidRPr="000F367C" w:rsidRDefault="00E820D9" w:rsidP="00390142">
      <w:pPr>
        <w:numPr>
          <w:ilvl w:val="0"/>
          <w:numId w:val="5"/>
        </w:numPr>
        <w:shd w:val="clear" w:color="auto" w:fill="FFFFFF"/>
        <w:spacing w:before="60" w:line="240" w:lineRule="auto"/>
        <w:ind w:left="714" w:hanging="357"/>
        <w:rPr>
          <w:rFonts w:cstheme="minorHAnsi"/>
        </w:rPr>
      </w:pPr>
      <w:r w:rsidRPr="000F367C">
        <w:rPr>
          <w:rFonts w:cstheme="minorHAnsi"/>
        </w:rPr>
        <w:t>report to Victoria Police as soon as they become aware that a reportable allegation may involve suspected child abuse or criminal conduct.</w:t>
      </w:r>
    </w:p>
    <w:p w14:paraId="54D0B536" w14:textId="413B91A9" w:rsidR="00BF74E2" w:rsidRDefault="00E820D9" w:rsidP="00B32BA9">
      <w:pPr>
        <w:pStyle w:val="NormalWeb"/>
        <w:shd w:val="clear" w:color="auto" w:fill="FFFFFF" w:themeFill="background1"/>
        <w:spacing w:before="0" w:beforeAutospacing="0" w:after="160" w:afterAutospacing="0" w:line="259" w:lineRule="auto"/>
        <w:jc w:val="both"/>
        <w:rPr>
          <w:rFonts w:asciiTheme="minorHAnsi" w:hAnsiTheme="minorHAnsi" w:cstheme="minorHAnsi"/>
          <w:sz w:val="22"/>
          <w:szCs w:val="22"/>
        </w:rPr>
      </w:pPr>
      <w:r w:rsidRPr="000F367C">
        <w:rPr>
          <w:rFonts w:asciiTheme="minorHAnsi" w:hAnsiTheme="minorHAnsi" w:cstheme="minorHAnsi"/>
          <w:sz w:val="22"/>
          <w:szCs w:val="22"/>
        </w:rPr>
        <w:t>Reportable conduct may also include historical reportable allegations. More guidance can be found at </w:t>
      </w:r>
      <w:hyperlink r:id="rId26">
        <w:r w:rsidRPr="000F367C">
          <w:rPr>
            <w:rStyle w:val="Emphasis"/>
            <w:rFonts w:asciiTheme="minorHAnsi" w:hAnsiTheme="minorHAnsi" w:cstheme="minorHAnsi"/>
            <w:sz w:val="22"/>
            <w:szCs w:val="22"/>
          </w:rPr>
          <w:t>Reportable Conduct Scheme – Historical allegations</w:t>
        </w:r>
      </w:hyperlink>
      <w:r w:rsidRPr="000F367C">
        <w:rPr>
          <w:rFonts w:asciiTheme="minorHAnsi" w:hAnsiTheme="minorHAnsi" w:cstheme="minorHAnsi"/>
          <w:sz w:val="22"/>
          <w:szCs w:val="22"/>
        </w:rPr>
        <w:t>.</w:t>
      </w:r>
    </w:p>
    <w:p w14:paraId="07EB208D" w14:textId="2DA7C3F7" w:rsidR="00BF74E2" w:rsidRDefault="00E820D9" w:rsidP="00B32BA9">
      <w:pPr>
        <w:pStyle w:val="NormalWeb"/>
        <w:shd w:val="clear" w:color="auto" w:fill="FFFFFF" w:themeFill="background1"/>
        <w:spacing w:before="0" w:beforeAutospacing="0" w:after="160" w:afterAutospacing="0" w:line="259" w:lineRule="auto"/>
        <w:jc w:val="both"/>
        <w:rPr>
          <w:rFonts w:asciiTheme="minorHAnsi" w:hAnsiTheme="minorHAnsi" w:cstheme="minorHAnsi"/>
          <w:sz w:val="22"/>
          <w:szCs w:val="22"/>
        </w:rPr>
      </w:pPr>
      <w:r w:rsidRPr="000F367C">
        <w:rPr>
          <w:rFonts w:asciiTheme="minorHAnsi" w:hAnsiTheme="minorHAnsi" w:cstheme="minorHAnsi"/>
          <w:sz w:val="22"/>
          <w:szCs w:val="22"/>
        </w:rPr>
        <w:t xml:space="preserve">All school staff are required to notify the principal or, if the principal is </w:t>
      </w:r>
      <w:r w:rsidR="52BE2F28" w:rsidRPr="000F367C">
        <w:rPr>
          <w:rFonts w:asciiTheme="minorHAnsi" w:hAnsiTheme="minorHAnsi" w:cstheme="minorHAnsi"/>
          <w:sz w:val="22"/>
          <w:szCs w:val="22"/>
        </w:rPr>
        <w:t>the subject of</w:t>
      </w:r>
      <w:r w:rsidRPr="000F367C">
        <w:rPr>
          <w:rFonts w:asciiTheme="minorHAnsi" w:hAnsiTheme="minorHAnsi" w:cstheme="minorHAnsi"/>
          <w:sz w:val="22"/>
          <w:szCs w:val="22"/>
        </w:rPr>
        <w:t xml:space="preserve"> the allegation, the </w:t>
      </w:r>
      <w:r w:rsidR="3C4DB667" w:rsidRPr="000F367C">
        <w:rPr>
          <w:rFonts w:asciiTheme="minorHAnsi" w:eastAsia="Calibri" w:hAnsiTheme="minorHAnsi" w:cstheme="minorHAnsi"/>
          <w:sz w:val="22"/>
          <w:szCs w:val="22"/>
        </w:rPr>
        <w:t xml:space="preserve">Manager Safeguarding and Standards on (03) 5337 7175 or </w:t>
      </w:r>
      <w:hyperlink r:id="rId27">
        <w:r w:rsidR="00B32BA9" w:rsidRPr="000F367C">
          <w:rPr>
            <w:rStyle w:val="Hyperlink"/>
            <w:rFonts w:asciiTheme="minorHAnsi" w:eastAsia="Calibri" w:hAnsiTheme="minorHAnsi" w:cstheme="minorHAnsi"/>
            <w:sz w:val="22"/>
            <w:szCs w:val="22"/>
          </w:rPr>
          <w:t>safeguarding@ceob.edu.au</w:t>
        </w:r>
      </w:hyperlink>
      <w:r w:rsidRPr="000F367C">
        <w:rPr>
          <w:rFonts w:asciiTheme="minorHAnsi" w:hAnsiTheme="minorHAnsi" w:cstheme="minorHAnsi"/>
          <w:sz w:val="22"/>
          <w:szCs w:val="22"/>
        </w:rPr>
        <w:t xml:space="preserve"> if they have a reportable </w:t>
      </w:r>
      <w:r w:rsidR="1C333FFE" w:rsidRPr="000F367C">
        <w:rPr>
          <w:rFonts w:asciiTheme="minorHAnsi" w:hAnsiTheme="minorHAnsi" w:cstheme="minorHAnsi"/>
          <w:sz w:val="22"/>
          <w:szCs w:val="22"/>
        </w:rPr>
        <w:t xml:space="preserve">conduct </w:t>
      </w:r>
      <w:r w:rsidRPr="000F367C">
        <w:rPr>
          <w:rFonts w:asciiTheme="minorHAnsi" w:hAnsiTheme="minorHAnsi" w:cstheme="minorHAnsi"/>
          <w:sz w:val="22"/>
          <w:szCs w:val="22"/>
        </w:rPr>
        <w:t xml:space="preserve">allegation. </w:t>
      </w:r>
    </w:p>
    <w:p w14:paraId="54F2C277" w14:textId="77777777" w:rsidR="00BF74E2" w:rsidRDefault="00BF74E2" w:rsidP="00B32BA9">
      <w:pPr>
        <w:pStyle w:val="NormalWeb"/>
        <w:shd w:val="clear" w:color="auto" w:fill="FFFFFF" w:themeFill="background1"/>
        <w:spacing w:before="0" w:beforeAutospacing="0" w:after="160" w:afterAutospacing="0" w:line="259" w:lineRule="auto"/>
        <w:jc w:val="both"/>
        <w:rPr>
          <w:rFonts w:asciiTheme="minorHAnsi" w:hAnsiTheme="minorHAnsi" w:cstheme="minorHAnsi"/>
          <w:sz w:val="22"/>
          <w:szCs w:val="22"/>
        </w:rPr>
      </w:pPr>
      <w:r>
        <w:rPr>
          <w:rFonts w:asciiTheme="minorHAnsi" w:hAnsiTheme="minorHAnsi" w:cstheme="minorHAnsi"/>
          <w:sz w:val="22"/>
          <w:szCs w:val="22"/>
        </w:rPr>
        <w:t>T</w:t>
      </w:r>
      <w:r w:rsidR="00E820D9" w:rsidRPr="000F367C">
        <w:rPr>
          <w:rFonts w:asciiTheme="minorHAnsi" w:hAnsiTheme="minorHAnsi" w:cstheme="minorHAnsi"/>
          <w:sz w:val="22"/>
          <w:szCs w:val="22"/>
        </w:rPr>
        <w:t xml:space="preserve">he principal must notify the </w:t>
      </w:r>
      <w:r w:rsidR="0F58BA8C" w:rsidRPr="000F367C">
        <w:rPr>
          <w:rFonts w:asciiTheme="minorHAnsi" w:eastAsia="Calibri" w:hAnsiTheme="minorHAnsi" w:cstheme="minorHAnsi"/>
          <w:sz w:val="22"/>
          <w:szCs w:val="22"/>
        </w:rPr>
        <w:t xml:space="preserve">Manager Safeguarding and Standards on (03) 5337 7175 or </w:t>
      </w:r>
      <w:hyperlink r:id="rId28">
        <w:r w:rsidR="00AD1237" w:rsidRPr="000F367C">
          <w:rPr>
            <w:rStyle w:val="Hyperlink"/>
            <w:rFonts w:asciiTheme="minorHAnsi" w:eastAsia="Calibri" w:hAnsiTheme="minorHAnsi" w:cstheme="minorHAnsi"/>
            <w:sz w:val="22"/>
            <w:szCs w:val="22"/>
          </w:rPr>
          <w:t>safeguarding@ceob.edu.au</w:t>
        </w:r>
      </w:hyperlink>
      <w:r w:rsidR="0F58BA8C" w:rsidRPr="000F367C">
        <w:rPr>
          <w:rFonts w:asciiTheme="minorHAnsi" w:hAnsiTheme="minorHAnsi" w:cstheme="minorHAnsi"/>
          <w:sz w:val="22"/>
          <w:szCs w:val="22"/>
        </w:rPr>
        <w:t xml:space="preserve"> </w:t>
      </w:r>
      <w:r w:rsidR="00E820D9" w:rsidRPr="000F367C">
        <w:rPr>
          <w:rFonts w:asciiTheme="minorHAnsi" w:hAnsiTheme="minorHAnsi" w:cstheme="minorHAnsi"/>
          <w:sz w:val="22"/>
          <w:szCs w:val="22"/>
        </w:rPr>
        <w:t>of the allegation of reportable conduct as soon as possible.</w:t>
      </w:r>
    </w:p>
    <w:p w14:paraId="55FAB2C5" w14:textId="77777777" w:rsidR="00BF74E2" w:rsidRDefault="00E820D9" w:rsidP="00B32BA9">
      <w:pPr>
        <w:pStyle w:val="NormalWeb"/>
        <w:shd w:val="clear" w:color="auto" w:fill="FFFFFF" w:themeFill="background1"/>
        <w:spacing w:before="0" w:beforeAutospacing="0" w:after="160" w:afterAutospacing="0" w:line="259" w:lineRule="auto"/>
        <w:jc w:val="both"/>
        <w:rPr>
          <w:rFonts w:asciiTheme="minorHAnsi" w:hAnsiTheme="minorHAnsi" w:cstheme="minorHAnsi"/>
          <w:sz w:val="22"/>
          <w:szCs w:val="22"/>
        </w:rPr>
      </w:pPr>
      <w:r w:rsidRPr="000F367C">
        <w:rPr>
          <w:rFonts w:asciiTheme="minorHAnsi" w:hAnsiTheme="minorHAnsi" w:cstheme="minorHAnsi"/>
          <w:sz w:val="22"/>
          <w:szCs w:val="22"/>
        </w:rPr>
        <w:t>The Reportable Conduct Scheme does not change mandatory reporting or other reporting obligations, including internal reporting and reporting criminal behaviour to Victoria Police. Reportable conduct reporting should be done in addition to these other reporting obligations.</w:t>
      </w:r>
    </w:p>
    <w:p w14:paraId="6B27B59A" w14:textId="69755996" w:rsidR="005C6ADA" w:rsidRPr="000F367C" w:rsidRDefault="00E820D9" w:rsidP="004C7F47">
      <w:pPr>
        <w:pStyle w:val="NormalWeb"/>
        <w:shd w:val="clear" w:color="auto" w:fill="FFFFFF" w:themeFill="background1"/>
        <w:spacing w:before="0" w:beforeAutospacing="0" w:after="0" w:afterAutospacing="0" w:line="259" w:lineRule="auto"/>
        <w:jc w:val="both"/>
        <w:rPr>
          <w:rFonts w:asciiTheme="minorHAnsi" w:eastAsiaTheme="minorEastAsia" w:hAnsiTheme="minorHAnsi" w:cstheme="minorHAnsi"/>
          <w:sz w:val="22"/>
          <w:szCs w:val="22"/>
        </w:rPr>
      </w:pPr>
      <w:r w:rsidRPr="000F367C">
        <w:rPr>
          <w:rFonts w:asciiTheme="minorHAnsi" w:hAnsiTheme="minorHAnsi" w:cstheme="minorHAnsi"/>
          <w:sz w:val="22"/>
          <w:szCs w:val="22"/>
        </w:rPr>
        <w:t xml:space="preserve">For further support and advice regarding reporting conduct in DOBCEL schools under the Reportable Conduct Scheme, contact </w:t>
      </w:r>
      <w:r w:rsidR="7626CFB6" w:rsidRPr="000F367C">
        <w:rPr>
          <w:rFonts w:asciiTheme="minorHAnsi" w:eastAsiaTheme="minorEastAsia" w:hAnsiTheme="minorHAnsi" w:cstheme="minorHAnsi"/>
          <w:sz w:val="22"/>
          <w:szCs w:val="22"/>
        </w:rPr>
        <w:t>the Manager Safeguarding and Standards on (03) 5337 7175 or</w:t>
      </w:r>
      <w:r w:rsidR="7626CFB6" w:rsidRPr="000F367C">
        <w:rPr>
          <w:rFonts w:asciiTheme="minorHAnsi" w:hAnsiTheme="minorHAnsi" w:cstheme="minorHAnsi"/>
          <w:sz w:val="22"/>
          <w:szCs w:val="22"/>
        </w:rPr>
        <w:t xml:space="preserve"> </w:t>
      </w:r>
      <w:hyperlink r:id="rId29">
        <w:r w:rsidR="00AD1237" w:rsidRPr="000F367C">
          <w:rPr>
            <w:rStyle w:val="Hyperlink"/>
            <w:rFonts w:asciiTheme="minorHAnsi" w:eastAsia="Calibri" w:hAnsiTheme="minorHAnsi" w:cstheme="minorHAnsi"/>
            <w:sz w:val="22"/>
            <w:szCs w:val="22"/>
          </w:rPr>
          <w:t>safeguarding@ceob.edu.au</w:t>
        </w:r>
      </w:hyperlink>
    </w:p>
    <w:p w14:paraId="69FA53B8" w14:textId="77777777" w:rsidR="004C7F47" w:rsidRDefault="004C7F47" w:rsidP="004C7F47">
      <w:pPr>
        <w:pStyle w:val="NormalWeb"/>
        <w:shd w:val="clear" w:color="auto" w:fill="FFFFFF" w:themeFill="background1"/>
        <w:spacing w:before="0" w:beforeAutospacing="0" w:after="0" w:afterAutospacing="0"/>
      </w:pPr>
    </w:p>
    <w:p w14:paraId="5BAB8FCA" w14:textId="2C6CEE2F" w:rsidR="005C6ADA" w:rsidRPr="004C4101" w:rsidRDefault="00E820D9" w:rsidP="004C4101">
      <w:pPr>
        <w:pStyle w:val="NormalWeb"/>
        <w:shd w:val="clear" w:color="auto" w:fill="FFFFFF" w:themeFill="background1"/>
        <w:spacing w:before="0" w:beforeAutospacing="0" w:after="160" w:afterAutospacing="0"/>
        <w:rPr>
          <w:rFonts w:asciiTheme="minorHAnsi" w:hAnsiTheme="minorHAnsi" w:cs="Arial"/>
          <w:b/>
          <w:bCs/>
          <w:color w:val="313131"/>
          <w:sz w:val="22"/>
          <w:szCs w:val="22"/>
        </w:rPr>
      </w:pPr>
      <w:r w:rsidRPr="004C4101">
        <w:rPr>
          <w:sz w:val="22"/>
          <w:szCs w:val="22"/>
        </w:rPr>
        <w:br/>
      </w:r>
      <w:r w:rsidRPr="004C4101">
        <w:rPr>
          <w:rStyle w:val="Emphasis"/>
          <w:rFonts w:asciiTheme="minorHAnsi" w:hAnsiTheme="minorHAnsi" w:cs="Arial"/>
          <w:b/>
          <w:bCs/>
          <w:i w:val="0"/>
          <w:iCs w:val="0"/>
          <w:color w:val="313131"/>
          <w:sz w:val="22"/>
          <w:szCs w:val="22"/>
        </w:rPr>
        <w:t>2.3</w:t>
      </w:r>
      <w:r w:rsidRPr="004C4101">
        <w:rPr>
          <w:rStyle w:val="Emphasis"/>
          <w:rFonts w:asciiTheme="minorHAnsi" w:hAnsiTheme="minorHAnsi" w:cs="Arial"/>
          <w:b/>
          <w:bCs/>
          <w:color w:val="313131"/>
          <w:sz w:val="22"/>
          <w:szCs w:val="22"/>
        </w:rPr>
        <w:t> Crimes Act 1958</w:t>
      </w:r>
      <w:r w:rsidRPr="004C4101">
        <w:rPr>
          <w:rFonts w:asciiTheme="minorHAnsi" w:hAnsiTheme="minorHAnsi" w:cs="Arial"/>
          <w:b/>
          <w:bCs/>
          <w:color w:val="313131"/>
          <w:sz w:val="22"/>
          <w:szCs w:val="22"/>
        </w:rPr>
        <w:t> </w:t>
      </w:r>
      <w:r w:rsidRPr="004E78BC">
        <w:rPr>
          <w:rFonts w:asciiTheme="minorHAnsi" w:hAnsiTheme="minorHAnsi" w:cs="Arial"/>
          <w:b/>
          <w:bCs/>
          <w:color w:val="313131"/>
          <w:sz w:val="22"/>
          <w:szCs w:val="22"/>
        </w:rPr>
        <w:t>(Vic.)</w:t>
      </w:r>
    </w:p>
    <w:p w14:paraId="5FB82B52" w14:textId="77777777" w:rsidR="00E820D9" w:rsidRPr="00E654B4" w:rsidRDefault="00E820D9" w:rsidP="00F65BD0">
      <w:pPr>
        <w:pStyle w:val="NormalWeb"/>
        <w:shd w:val="clear" w:color="auto" w:fill="FFFFFF"/>
        <w:spacing w:before="0" w:beforeAutospacing="0" w:after="0" w:afterAutospacing="0"/>
        <w:jc w:val="both"/>
        <w:rPr>
          <w:rFonts w:asciiTheme="minorHAnsi" w:hAnsiTheme="minorHAnsi" w:cstheme="minorHAnsi"/>
          <w:sz w:val="22"/>
          <w:szCs w:val="22"/>
        </w:rPr>
      </w:pPr>
      <w:r w:rsidRPr="00E654B4">
        <w:rPr>
          <w:rFonts w:asciiTheme="minorHAnsi" w:hAnsiTheme="minorHAnsi" w:cstheme="minorHAnsi"/>
          <w:sz w:val="22"/>
          <w:szCs w:val="22"/>
        </w:rPr>
        <w:t>In response to the </w:t>
      </w:r>
      <w:hyperlink r:id="rId30" w:tgtFrame="_blank" w:history="1">
        <w:r w:rsidRPr="00E654B4">
          <w:rPr>
            <w:rStyle w:val="Emphasis"/>
            <w:rFonts w:asciiTheme="minorHAnsi" w:hAnsiTheme="minorHAnsi" w:cstheme="minorHAnsi"/>
            <w:sz w:val="22"/>
            <w:szCs w:val="22"/>
          </w:rPr>
          <w:t>Betrayal of Trust</w:t>
        </w:r>
        <w:r w:rsidRPr="00E654B4">
          <w:rPr>
            <w:rStyle w:val="Hyperlink"/>
            <w:rFonts w:asciiTheme="minorHAnsi" w:hAnsiTheme="minorHAnsi" w:cstheme="minorHAnsi"/>
            <w:color w:val="auto"/>
            <w:sz w:val="22"/>
            <w:szCs w:val="22"/>
          </w:rPr>
          <w:t> </w:t>
        </w:r>
      </w:hyperlink>
      <w:r w:rsidRPr="00E654B4">
        <w:rPr>
          <w:rFonts w:asciiTheme="minorHAnsi" w:hAnsiTheme="minorHAnsi" w:cstheme="minorHAnsi"/>
          <w:sz w:val="22"/>
          <w:szCs w:val="22"/>
        </w:rPr>
        <w:t>report, three new criminal offences have been introduced under the </w:t>
      </w:r>
      <w:r w:rsidRPr="00E654B4">
        <w:rPr>
          <w:rStyle w:val="Emphasis"/>
          <w:rFonts w:asciiTheme="minorHAnsi" w:hAnsiTheme="minorHAnsi" w:cstheme="minorHAnsi"/>
          <w:sz w:val="22"/>
          <w:szCs w:val="22"/>
        </w:rPr>
        <w:t>Crimes Act 1958 </w:t>
      </w:r>
      <w:r w:rsidRPr="00E654B4">
        <w:rPr>
          <w:rFonts w:asciiTheme="minorHAnsi" w:hAnsiTheme="minorHAnsi" w:cstheme="minorHAnsi"/>
          <w:sz w:val="22"/>
          <w:szCs w:val="22"/>
        </w:rPr>
        <w:t>(Vic.):</w:t>
      </w:r>
    </w:p>
    <w:p w14:paraId="3762DB0E" w14:textId="77777777" w:rsidR="00E820D9" w:rsidRPr="00E654B4" w:rsidRDefault="00E20263" w:rsidP="00F65BD0">
      <w:pPr>
        <w:numPr>
          <w:ilvl w:val="0"/>
          <w:numId w:val="6"/>
        </w:numPr>
        <w:shd w:val="clear" w:color="auto" w:fill="FFFFFF"/>
        <w:spacing w:before="60" w:after="0"/>
        <w:ind w:left="714" w:hanging="357"/>
        <w:jc w:val="both"/>
        <w:rPr>
          <w:rFonts w:cstheme="minorHAnsi"/>
        </w:rPr>
      </w:pPr>
      <w:hyperlink r:id="rId31" w:tgtFrame="_blank" w:history="1">
        <w:r w:rsidR="00E820D9" w:rsidRPr="00E654B4">
          <w:rPr>
            <w:rStyle w:val="Strong"/>
            <w:rFonts w:cstheme="minorHAnsi"/>
          </w:rPr>
          <w:t>failure to disclose offence, </w:t>
        </w:r>
      </w:hyperlink>
      <w:r w:rsidR="00E820D9" w:rsidRPr="00E654B4">
        <w:rPr>
          <w:rFonts w:cstheme="minorHAnsi"/>
        </w:rPr>
        <w:t>which requires adults to report to Victoria Police a reasonable belief that a sexual offence has been committed against a child</w:t>
      </w:r>
    </w:p>
    <w:p w14:paraId="667A81FF" w14:textId="77777777" w:rsidR="00E820D9" w:rsidRPr="00E654B4" w:rsidRDefault="00E20263" w:rsidP="00F65BD0">
      <w:pPr>
        <w:numPr>
          <w:ilvl w:val="0"/>
          <w:numId w:val="6"/>
        </w:numPr>
        <w:shd w:val="clear" w:color="auto" w:fill="FFFFFF"/>
        <w:spacing w:before="60" w:after="0"/>
        <w:ind w:left="714" w:hanging="357"/>
        <w:jc w:val="both"/>
        <w:rPr>
          <w:rFonts w:cstheme="minorHAnsi"/>
        </w:rPr>
      </w:pPr>
      <w:hyperlink r:id="rId32" w:tgtFrame="_blank" w:history="1">
        <w:r w:rsidR="00E820D9" w:rsidRPr="00E654B4">
          <w:rPr>
            <w:rStyle w:val="Strong"/>
            <w:rFonts w:cstheme="minorHAnsi"/>
          </w:rPr>
          <w:t>failure to protect offence, </w:t>
        </w:r>
      </w:hyperlink>
      <w:r w:rsidR="00E820D9" w:rsidRPr="00E654B4">
        <w:rPr>
          <w:rFonts w:cstheme="minorHAnsi"/>
        </w:rPr>
        <w:t>which applies to people in positions of authority within organisations, who knew of a risk of child sexual abuse by someone in the organisation and failed to reduce or remove the risk</w:t>
      </w:r>
    </w:p>
    <w:p w14:paraId="7CE16505" w14:textId="5DE61F88" w:rsidR="00325AEA" w:rsidRPr="00390142" w:rsidRDefault="00E20263" w:rsidP="00390142">
      <w:pPr>
        <w:numPr>
          <w:ilvl w:val="0"/>
          <w:numId w:val="6"/>
        </w:numPr>
        <w:shd w:val="clear" w:color="auto" w:fill="FFFFFF"/>
        <w:spacing w:before="60" w:after="240"/>
        <w:ind w:left="714" w:hanging="357"/>
        <w:jc w:val="both"/>
        <w:rPr>
          <w:rStyle w:val="Strong"/>
          <w:rFonts w:cstheme="minorHAnsi"/>
          <w:b w:val="0"/>
          <w:bCs w:val="0"/>
        </w:rPr>
      </w:pPr>
      <w:hyperlink r:id="rId33" w:tgtFrame="_blank" w:history="1">
        <w:r w:rsidR="00E820D9" w:rsidRPr="00E654B4">
          <w:rPr>
            <w:rStyle w:val="Strong"/>
            <w:rFonts w:cstheme="minorHAnsi"/>
          </w:rPr>
          <w:t>grooming offence, </w:t>
        </w:r>
      </w:hyperlink>
      <w:r w:rsidR="00E820D9" w:rsidRPr="00E654B4">
        <w:rPr>
          <w:rFonts w:cstheme="minorHAnsi"/>
        </w:rPr>
        <w:t>which targets communication with a child or their parents with the intent of committing child sexual abuse.</w:t>
      </w:r>
    </w:p>
    <w:p w14:paraId="41B63D6F" w14:textId="00C41189" w:rsidR="00E820D9" w:rsidRPr="00352127" w:rsidRDefault="00E820D9" w:rsidP="002655CF">
      <w:pPr>
        <w:pStyle w:val="Heading6"/>
        <w:shd w:val="clear" w:color="auto" w:fill="FFFFFF"/>
        <w:spacing w:before="0" w:after="160"/>
        <w:jc w:val="both"/>
        <w:rPr>
          <w:rFonts w:asciiTheme="minorHAnsi" w:hAnsiTheme="minorHAnsi" w:cstheme="minorHAnsi"/>
          <w:color w:val="auto"/>
        </w:rPr>
      </w:pPr>
      <w:r w:rsidRPr="00352127">
        <w:rPr>
          <w:rStyle w:val="Strong"/>
          <w:rFonts w:asciiTheme="minorHAnsi" w:hAnsiTheme="minorHAnsi" w:cstheme="minorHAnsi"/>
          <w:color w:val="auto"/>
        </w:rPr>
        <w:t>Failure to disclose</w:t>
      </w:r>
    </w:p>
    <w:p w14:paraId="13A4F1F5" w14:textId="77777777" w:rsidR="00C451A5" w:rsidRDefault="00E820D9" w:rsidP="00233318">
      <w:pPr>
        <w:jc w:val="both"/>
        <w:rPr>
          <w:rFonts w:cstheme="minorHAnsi"/>
        </w:rPr>
      </w:pPr>
      <w:r w:rsidRPr="00352127">
        <w:rPr>
          <w:rFonts w:cstheme="minorHAnsi"/>
          <w:shd w:val="clear" w:color="auto" w:fill="FFFFFF"/>
        </w:rPr>
        <w:t>Any school staff member who forms a reasonable belief that a sexual offence has been committed in Victoria by an adult against a child under 16 must disclose that information to Victoria Police.</w:t>
      </w:r>
    </w:p>
    <w:p w14:paraId="702B0523" w14:textId="3F50A3B3" w:rsidR="00233318" w:rsidRPr="00C451A5" w:rsidRDefault="00E820D9" w:rsidP="00233318">
      <w:pPr>
        <w:jc w:val="both"/>
        <w:rPr>
          <w:rFonts w:cstheme="minorHAnsi"/>
        </w:rPr>
      </w:pPr>
      <w:r w:rsidRPr="00352127">
        <w:rPr>
          <w:rFonts w:cstheme="minorHAnsi"/>
          <w:shd w:val="clear" w:color="auto" w:fill="FFFFFF"/>
        </w:rPr>
        <w:t>Failure to disclose the information to Victoria Police is a criminal offence under section 327 of the </w:t>
      </w:r>
      <w:r w:rsidRPr="00352127">
        <w:rPr>
          <w:rStyle w:val="Emphasis"/>
          <w:rFonts w:cstheme="minorHAnsi"/>
          <w:shd w:val="clear" w:color="auto" w:fill="FFFFFF"/>
        </w:rPr>
        <w:t>Crimes Act 1958 </w:t>
      </w:r>
      <w:r w:rsidRPr="00352127">
        <w:rPr>
          <w:rFonts w:cstheme="minorHAnsi"/>
          <w:shd w:val="clear" w:color="auto" w:fill="FFFFFF"/>
        </w:rPr>
        <w:t>(Vic.) and applies to </w:t>
      </w:r>
      <w:r w:rsidRPr="00352127">
        <w:rPr>
          <w:rStyle w:val="Strong"/>
          <w:rFonts w:cstheme="minorHAnsi"/>
          <w:shd w:val="clear" w:color="auto" w:fill="FFFFFF"/>
        </w:rPr>
        <w:t>all adults (18 years and over) </w:t>
      </w:r>
      <w:r w:rsidRPr="00352127">
        <w:rPr>
          <w:rFonts w:cstheme="minorHAnsi"/>
          <w:shd w:val="clear" w:color="auto" w:fill="FFFFFF"/>
        </w:rPr>
        <w:t>in Victoria, not just professionals who work with children.</w:t>
      </w:r>
    </w:p>
    <w:p w14:paraId="645750D2" w14:textId="77777777" w:rsidR="00233318" w:rsidRDefault="00E820D9" w:rsidP="00233318">
      <w:pPr>
        <w:jc w:val="both"/>
        <w:rPr>
          <w:rFonts w:cstheme="minorHAnsi"/>
          <w:shd w:val="clear" w:color="auto" w:fill="FFFFFF"/>
        </w:rPr>
      </w:pPr>
      <w:r w:rsidRPr="00352127">
        <w:rPr>
          <w:rFonts w:cstheme="minorHAnsi"/>
          <w:shd w:val="clear" w:color="auto" w:fill="FFFFFF"/>
        </w:rPr>
        <w:lastRenderedPageBreak/>
        <w:t>The obligation is to disclose that information to Victoria Police as soon as it is practicable to do so, except in limited circumstances such as where the information has already been reported to DHHS Child Protection</w:t>
      </w:r>
      <w:r w:rsidR="00233318">
        <w:rPr>
          <w:rFonts w:cstheme="minorHAnsi"/>
          <w:shd w:val="clear" w:color="auto" w:fill="FFFFFF"/>
        </w:rPr>
        <w:t>.</w:t>
      </w:r>
    </w:p>
    <w:p w14:paraId="4432B5E5" w14:textId="77777777" w:rsidR="00233318" w:rsidRDefault="00E820D9" w:rsidP="00233318">
      <w:pPr>
        <w:jc w:val="both"/>
        <w:rPr>
          <w:rFonts w:cstheme="minorHAnsi"/>
          <w:shd w:val="clear" w:color="auto" w:fill="FFFFFF"/>
        </w:rPr>
      </w:pPr>
      <w:r w:rsidRPr="00352127">
        <w:rPr>
          <w:rStyle w:val="Strong"/>
          <w:rFonts w:cstheme="minorHAnsi"/>
          <w:shd w:val="clear" w:color="auto" w:fill="FFFFFF"/>
        </w:rPr>
        <w:t xml:space="preserve">Refer to Appendix </w:t>
      </w:r>
      <w:r w:rsidR="25F21BBE" w:rsidRPr="00352127">
        <w:rPr>
          <w:rStyle w:val="Strong"/>
          <w:rFonts w:cstheme="minorHAnsi"/>
          <w:shd w:val="clear" w:color="auto" w:fill="FFFFFF"/>
        </w:rPr>
        <w:t>3</w:t>
      </w:r>
      <w:r w:rsidRPr="00352127">
        <w:rPr>
          <w:rStyle w:val="Strong"/>
          <w:rFonts w:cstheme="minorHAnsi"/>
          <w:shd w:val="clear" w:color="auto" w:fill="FFFFFF"/>
        </w:rPr>
        <w:t> </w:t>
      </w:r>
      <w:r w:rsidRPr="00352127">
        <w:rPr>
          <w:rFonts w:cstheme="minorHAnsi"/>
          <w:shd w:val="clear" w:color="auto" w:fill="FFFFFF"/>
        </w:rPr>
        <w:t>for more information on when to report a concern that a child or young person has been sexually abused, or is in need of protection from sexual abuse</w:t>
      </w:r>
      <w:r w:rsidR="00233318">
        <w:rPr>
          <w:rFonts w:cstheme="minorHAnsi"/>
          <w:shd w:val="clear" w:color="auto" w:fill="FFFFFF"/>
        </w:rPr>
        <w:t>.</w:t>
      </w:r>
    </w:p>
    <w:p w14:paraId="075F938F" w14:textId="6878ED87" w:rsidR="00E820D9" w:rsidRDefault="00E820D9" w:rsidP="00C451A5">
      <w:pPr>
        <w:spacing w:after="0"/>
        <w:jc w:val="both"/>
        <w:rPr>
          <w:rFonts w:cstheme="minorHAnsi"/>
          <w:shd w:val="clear" w:color="auto" w:fill="FFFFFF"/>
        </w:rPr>
      </w:pPr>
      <w:r w:rsidRPr="00352127">
        <w:rPr>
          <w:rFonts w:cstheme="minorHAnsi"/>
          <w:shd w:val="clear" w:color="auto" w:fill="FFFFFF"/>
        </w:rPr>
        <w:t>For further information about the failure to disclose offence, see the Department of Justice and Community Safety’s ‘</w:t>
      </w:r>
      <w:hyperlink r:id="rId34" w:tgtFrame="_blank" w:history="1">
        <w:r w:rsidRPr="00B92E34">
          <w:rPr>
            <w:rStyle w:val="Hyperlink"/>
            <w:rFonts w:eastAsia="Calibri" w:cstheme="minorHAnsi"/>
            <w:lang w:eastAsia="en-AU"/>
          </w:rPr>
          <w:t>Failure to disclose offence</w:t>
        </w:r>
      </w:hyperlink>
      <w:r w:rsidRPr="00352127">
        <w:rPr>
          <w:rFonts w:cstheme="minorHAnsi"/>
          <w:shd w:val="clear" w:color="auto" w:fill="FFFFFF"/>
        </w:rPr>
        <w:t>’ webpage and </w:t>
      </w:r>
      <w:hyperlink r:id="rId35" w:tgtFrame="_blank" w:history="1">
        <w:r w:rsidRPr="00352127">
          <w:rPr>
            <w:rStyle w:val="Emphasis"/>
            <w:rFonts w:cstheme="minorHAnsi"/>
            <w:shd w:val="clear" w:color="auto" w:fill="FFFFFF"/>
          </w:rPr>
          <w:t>Betrayal of Trust: Factsheet</w:t>
        </w:r>
      </w:hyperlink>
      <w:r w:rsidRPr="00352127">
        <w:rPr>
          <w:rFonts w:cstheme="minorHAnsi"/>
          <w:shd w:val="clear" w:color="auto" w:fill="FFFFFF"/>
        </w:rPr>
        <w:t>.</w:t>
      </w:r>
    </w:p>
    <w:p w14:paraId="057E5BD1" w14:textId="77777777" w:rsidR="00233318" w:rsidRPr="00352127" w:rsidRDefault="00233318" w:rsidP="00C451A5">
      <w:pPr>
        <w:spacing w:after="0" w:line="240" w:lineRule="auto"/>
        <w:rPr>
          <w:rFonts w:cstheme="minorHAnsi"/>
        </w:rPr>
      </w:pPr>
    </w:p>
    <w:p w14:paraId="78AC8C51" w14:textId="77777777" w:rsidR="00E820D9" w:rsidRPr="00C451A5" w:rsidRDefault="00E820D9" w:rsidP="00C451A5">
      <w:pPr>
        <w:pStyle w:val="Heading6"/>
        <w:shd w:val="clear" w:color="auto" w:fill="FFFFFF"/>
        <w:spacing w:before="0" w:after="160"/>
        <w:jc w:val="both"/>
        <w:rPr>
          <w:rStyle w:val="Strong"/>
        </w:rPr>
      </w:pPr>
      <w:r w:rsidRPr="00352127">
        <w:rPr>
          <w:rStyle w:val="Strong"/>
          <w:rFonts w:asciiTheme="minorHAnsi" w:hAnsiTheme="minorHAnsi" w:cstheme="minorHAnsi"/>
          <w:color w:val="auto"/>
        </w:rPr>
        <w:t>Failure to protect</w:t>
      </w:r>
    </w:p>
    <w:p w14:paraId="4CC0397D" w14:textId="77777777" w:rsidR="00C451A5" w:rsidRDefault="00E820D9" w:rsidP="00C451A5">
      <w:pPr>
        <w:jc w:val="both"/>
        <w:rPr>
          <w:rFonts w:cstheme="minorHAnsi"/>
          <w:shd w:val="clear" w:color="auto" w:fill="FFFFFF"/>
        </w:rPr>
      </w:pPr>
      <w:r w:rsidRPr="00352127">
        <w:rPr>
          <w:rFonts w:cstheme="minorHAnsi"/>
          <w:shd w:val="clear" w:color="auto" w:fill="FFFFFF"/>
        </w:rPr>
        <w:t>Any school staff member in a position of authority who has the power or responsibility to remove risk, and becomes aware that an adult associated with their organisation (such as an employee, contractor, volunteer, sport coach or visitor) poses a risk of sexual abuse to a child </w:t>
      </w:r>
      <w:r w:rsidRPr="00352127">
        <w:rPr>
          <w:rStyle w:val="Strong"/>
          <w:rFonts w:cstheme="minorHAnsi"/>
          <w:shd w:val="clear" w:color="auto" w:fill="FFFFFF"/>
        </w:rPr>
        <w:t>under 16 </w:t>
      </w:r>
      <w:r w:rsidRPr="00352127">
        <w:rPr>
          <w:rFonts w:cstheme="minorHAnsi"/>
          <w:shd w:val="clear" w:color="auto" w:fill="FFFFFF"/>
        </w:rPr>
        <w:t>who is in the care or supervision of the organisation, must take all reasonable steps to reduce or remove that risk.</w:t>
      </w:r>
      <w:r w:rsidR="00C451A5">
        <w:rPr>
          <w:rFonts w:cstheme="minorHAnsi"/>
          <w:shd w:val="clear" w:color="auto" w:fill="FFFFFF"/>
        </w:rPr>
        <w:t xml:space="preserve"> </w:t>
      </w:r>
    </w:p>
    <w:p w14:paraId="7C770FA5" w14:textId="77777777" w:rsidR="00C451A5" w:rsidRDefault="00E820D9" w:rsidP="00C451A5">
      <w:pPr>
        <w:jc w:val="both"/>
        <w:rPr>
          <w:rFonts w:cstheme="minorHAnsi"/>
          <w:shd w:val="clear" w:color="auto" w:fill="FFFFFF"/>
        </w:rPr>
      </w:pPr>
      <w:r w:rsidRPr="00352127">
        <w:rPr>
          <w:rFonts w:cstheme="minorHAnsi"/>
          <w:shd w:val="clear" w:color="auto" w:fill="FFFFFF"/>
        </w:rPr>
        <w:t>In a school context, this will include the principal, deputy principal and business manager and may also extend to school counsellors, heads of departments and heads of schools.</w:t>
      </w:r>
    </w:p>
    <w:p w14:paraId="0A4D3F00" w14:textId="77777777" w:rsidR="00C451A5" w:rsidRDefault="00E820D9" w:rsidP="00C451A5">
      <w:pPr>
        <w:jc w:val="both"/>
        <w:rPr>
          <w:rFonts w:cstheme="minorHAnsi"/>
          <w:shd w:val="clear" w:color="auto" w:fill="FFFFFF"/>
        </w:rPr>
      </w:pPr>
      <w:r w:rsidRPr="00352127">
        <w:rPr>
          <w:rFonts w:cstheme="minorHAnsi"/>
          <w:shd w:val="clear" w:color="auto" w:fill="FFFFFF"/>
        </w:rPr>
        <w:t>Failure to take reasonable steps to protect a child in the organisation from the risk of sexual abuse from an adult associated with the organisation is a criminal offence under section 49O (1) of the </w:t>
      </w:r>
      <w:r w:rsidRPr="00352127">
        <w:rPr>
          <w:rStyle w:val="Emphasis"/>
          <w:rFonts w:cstheme="minorHAnsi"/>
          <w:shd w:val="clear" w:color="auto" w:fill="FFFFFF"/>
        </w:rPr>
        <w:t>Crimes Act 1958 </w:t>
      </w:r>
      <w:r w:rsidRPr="00352127">
        <w:rPr>
          <w:rFonts w:cstheme="minorHAnsi"/>
          <w:shd w:val="clear" w:color="auto" w:fill="FFFFFF"/>
        </w:rPr>
        <w:t>(Vic.).</w:t>
      </w:r>
    </w:p>
    <w:p w14:paraId="7781E4E6" w14:textId="77777777" w:rsidR="00325AEA" w:rsidRDefault="00E820D9" w:rsidP="00C451A5">
      <w:pPr>
        <w:spacing w:after="0"/>
        <w:jc w:val="both"/>
        <w:rPr>
          <w:rFonts w:cstheme="minorHAnsi"/>
          <w:shd w:val="clear" w:color="auto" w:fill="FFFFFF"/>
        </w:rPr>
      </w:pPr>
      <w:r w:rsidRPr="00352127">
        <w:rPr>
          <w:rFonts w:cstheme="minorHAnsi"/>
          <w:shd w:val="clear" w:color="auto" w:fill="FFFFFF"/>
        </w:rPr>
        <w:t>For further information about the failure to protect offence, see the Department of Justice and Community Safety’s ‘</w:t>
      </w:r>
      <w:hyperlink r:id="rId36" w:tgtFrame="_blank" w:history="1">
        <w:r w:rsidRPr="00352127">
          <w:rPr>
            <w:rStyle w:val="Hyperlink"/>
            <w:rFonts w:eastAsia="Calibri" w:cstheme="minorHAnsi"/>
            <w:lang w:eastAsia="en-AU"/>
          </w:rPr>
          <w:t>Failure to protect offence</w:t>
        </w:r>
      </w:hyperlink>
      <w:r w:rsidRPr="00352127">
        <w:rPr>
          <w:rFonts w:cstheme="minorHAnsi"/>
          <w:shd w:val="clear" w:color="auto" w:fill="FFFFFF"/>
        </w:rPr>
        <w:t>’ webpage and </w:t>
      </w:r>
      <w:hyperlink r:id="rId37" w:tgtFrame="_blank" w:history="1">
        <w:r w:rsidRPr="00352127">
          <w:rPr>
            <w:rStyle w:val="Emphasis"/>
            <w:rFonts w:cstheme="minorHAnsi"/>
            <w:shd w:val="clear" w:color="auto" w:fill="FFFFFF"/>
          </w:rPr>
          <w:t>Betrayal of Trust: Factsheet</w:t>
        </w:r>
      </w:hyperlink>
      <w:r w:rsidRPr="00352127">
        <w:rPr>
          <w:rFonts w:cstheme="minorHAnsi"/>
          <w:shd w:val="clear" w:color="auto" w:fill="FFFFFF"/>
        </w:rPr>
        <w:t>.</w:t>
      </w:r>
    </w:p>
    <w:p w14:paraId="2D8DF9F1" w14:textId="4209B82B" w:rsidR="00C451A5" w:rsidRPr="00352127" w:rsidRDefault="00C451A5" w:rsidP="00325AEA">
      <w:pPr>
        <w:spacing w:after="0"/>
        <w:jc w:val="both"/>
        <w:rPr>
          <w:rFonts w:cstheme="minorHAnsi"/>
          <w:shd w:val="clear" w:color="auto" w:fill="FFFFFF"/>
        </w:rPr>
      </w:pPr>
    </w:p>
    <w:p w14:paraId="46A4A5EC" w14:textId="77777777" w:rsidR="00E820D9" w:rsidRPr="00352127" w:rsidRDefault="00E820D9" w:rsidP="00C451A5">
      <w:pPr>
        <w:pStyle w:val="Heading6"/>
        <w:shd w:val="clear" w:color="auto" w:fill="FFFFFF"/>
        <w:spacing w:before="0" w:after="160"/>
        <w:jc w:val="both"/>
        <w:rPr>
          <w:rFonts w:asciiTheme="minorHAnsi" w:hAnsiTheme="minorHAnsi" w:cstheme="minorHAnsi"/>
          <w:color w:val="auto"/>
        </w:rPr>
      </w:pPr>
      <w:r w:rsidRPr="00352127">
        <w:rPr>
          <w:rStyle w:val="Strong"/>
          <w:rFonts w:asciiTheme="minorHAnsi" w:hAnsiTheme="minorHAnsi" w:cstheme="minorHAnsi"/>
          <w:color w:val="auto"/>
        </w:rPr>
        <w:t>Grooming</w:t>
      </w:r>
    </w:p>
    <w:p w14:paraId="1E0B97E7" w14:textId="77777777" w:rsidR="00C451A5" w:rsidRDefault="00E820D9" w:rsidP="00C451A5">
      <w:pPr>
        <w:pStyle w:val="NormalWeb"/>
        <w:shd w:val="clear" w:color="auto" w:fill="FFFFFF" w:themeFill="background1"/>
        <w:spacing w:before="0" w:beforeAutospacing="0" w:after="160" w:afterAutospacing="0"/>
        <w:jc w:val="both"/>
        <w:rPr>
          <w:rFonts w:asciiTheme="minorHAnsi" w:hAnsiTheme="minorHAnsi" w:cstheme="minorHAnsi"/>
          <w:sz w:val="22"/>
          <w:szCs w:val="22"/>
        </w:rPr>
      </w:pPr>
      <w:r w:rsidRPr="00352127">
        <w:rPr>
          <w:rFonts w:asciiTheme="minorHAnsi" w:hAnsiTheme="minorHAnsi" w:cstheme="minorHAnsi"/>
          <w:sz w:val="22"/>
          <w:szCs w:val="22"/>
        </w:rPr>
        <w:t xml:space="preserve">The offence of grooming </w:t>
      </w:r>
      <w:r w:rsidR="6F73D64D" w:rsidRPr="00352127">
        <w:rPr>
          <w:rFonts w:asciiTheme="minorHAnsi" w:hAnsiTheme="minorHAnsi" w:cstheme="minorHAnsi"/>
          <w:sz w:val="22"/>
          <w:szCs w:val="22"/>
        </w:rPr>
        <w:t>targets</w:t>
      </w:r>
      <w:r w:rsidRPr="00352127">
        <w:rPr>
          <w:rFonts w:asciiTheme="minorHAnsi" w:hAnsiTheme="minorHAnsi" w:cstheme="minorHAnsi"/>
          <w:sz w:val="22"/>
          <w:szCs w:val="22"/>
        </w:rPr>
        <w:t xml:space="preserve"> predatory conduct designed to prepare or ‘groom’ a child for future sexual activity and is contained in section 49M (1) of the </w:t>
      </w:r>
      <w:r w:rsidRPr="00352127">
        <w:rPr>
          <w:rStyle w:val="Emphasis"/>
          <w:rFonts w:asciiTheme="minorHAnsi" w:hAnsiTheme="minorHAnsi" w:cstheme="minorHAnsi"/>
          <w:sz w:val="22"/>
          <w:szCs w:val="22"/>
        </w:rPr>
        <w:t>Crimes Act 1958 </w:t>
      </w:r>
      <w:r w:rsidRPr="00352127">
        <w:rPr>
          <w:rFonts w:asciiTheme="minorHAnsi" w:hAnsiTheme="minorHAnsi" w:cstheme="minorHAnsi"/>
          <w:sz w:val="22"/>
          <w:szCs w:val="22"/>
        </w:rPr>
        <w:t>(Vic.). The offence applies to communication with children </w:t>
      </w:r>
      <w:r w:rsidRPr="00352127">
        <w:rPr>
          <w:rStyle w:val="Strong"/>
          <w:rFonts w:asciiTheme="minorHAnsi" w:eastAsiaTheme="majorEastAsia" w:hAnsiTheme="minorHAnsi" w:cstheme="minorHAnsi"/>
          <w:sz w:val="22"/>
          <w:szCs w:val="22"/>
        </w:rPr>
        <w:t>under 16 years</w:t>
      </w:r>
      <w:r w:rsidRPr="00352127">
        <w:rPr>
          <w:rFonts w:asciiTheme="minorHAnsi" w:hAnsiTheme="minorHAnsi" w:cstheme="minorHAnsi"/>
          <w:sz w:val="22"/>
          <w:szCs w:val="22"/>
        </w:rPr>
        <w:t>.</w:t>
      </w:r>
    </w:p>
    <w:p w14:paraId="633BA3A3" w14:textId="77777777" w:rsidR="00C451A5" w:rsidRDefault="00E820D9" w:rsidP="00C451A5">
      <w:pPr>
        <w:pStyle w:val="NormalWeb"/>
        <w:shd w:val="clear" w:color="auto" w:fill="FFFFFF" w:themeFill="background1"/>
        <w:spacing w:before="0" w:beforeAutospacing="0" w:after="160" w:afterAutospacing="0"/>
        <w:jc w:val="both"/>
        <w:rPr>
          <w:rFonts w:asciiTheme="minorHAnsi" w:hAnsiTheme="minorHAnsi" w:cstheme="minorHAnsi"/>
          <w:sz w:val="22"/>
          <w:szCs w:val="22"/>
        </w:rPr>
      </w:pPr>
      <w:r w:rsidRPr="00352127">
        <w:rPr>
          <w:rFonts w:asciiTheme="minorHAnsi" w:hAnsiTheme="minorHAnsi" w:cstheme="minorHAnsi"/>
          <w:sz w:val="22"/>
          <w:szCs w:val="22"/>
        </w:rPr>
        <w:t>Grooming can be conducted in person or online, for example via interaction through social media, web forums and emails. The offence can be committed by any person aged 18 years or over. It does not apply to communication between people who are both under 18 years of age.</w:t>
      </w:r>
    </w:p>
    <w:p w14:paraId="45512E47" w14:textId="77777777" w:rsidR="00C451A5" w:rsidRDefault="00E820D9" w:rsidP="00C451A5">
      <w:pPr>
        <w:pStyle w:val="NormalWeb"/>
        <w:shd w:val="clear" w:color="auto" w:fill="FFFFFF" w:themeFill="background1"/>
        <w:spacing w:before="0" w:beforeAutospacing="0" w:after="160" w:afterAutospacing="0"/>
        <w:jc w:val="both"/>
        <w:rPr>
          <w:rFonts w:asciiTheme="minorHAnsi" w:hAnsiTheme="minorHAnsi" w:cstheme="minorHAnsi"/>
          <w:sz w:val="22"/>
          <w:szCs w:val="22"/>
        </w:rPr>
      </w:pPr>
      <w:r w:rsidRPr="00352127">
        <w:rPr>
          <w:rFonts w:asciiTheme="minorHAnsi" w:hAnsiTheme="minorHAnsi" w:cstheme="minorHAnsi"/>
          <w:sz w:val="22"/>
          <w:szCs w:val="22"/>
        </w:rPr>
        <w:t>For further information about the grooming offence, see the Department of Justice and Community Safety’s ‘</w:t>
      </w:r>
      <w:hyperlink r:id="rId38">
        <w:r w:rsidRPr="00352127">
          <w:rPr>
            <w:rStyle w:val="Hyperlink"/>
            <w:rFonts w:asciiTheme="minorHAnsi" w:eastAsia="Calibri" w:hAnsiTheme="minorHAnsi" w:cstheme="minorHAnsi"/>
            <w:sz w:val="22"/>
            <w:szCs w:val="22"/>
          </w:rPr>
          <w:t>Grooming offence</w:t>
        </w:r>
      </w:hyperlink>
      <w:r w:rsidRPr="00352127">
        <w:rPr>
          <w:rFonts w:asciiTheme="minorHAnsi" w:hAnsiTheme="minorHAnsi" w:cstheme="minorHAnsi"/>
          <w:sz w:val="22"/>
          <w:szCs w:val="22"/>
        </w:rPr>
        <w:t>’ webpage and </w:t>
      </w:r>
      <w:hyperlink r:id="rId39">
        <w:r w:rsidRPr="00352127">
          <w:rPr>
            <w:rStyle w:val="Emphasis"/>
            <w:rFonts w:asciiTheme="minorHAnsi" w:hAnsiTheme="minorHAnsi" w:cstheme="minorHAnsi"/>
            <w:sz w:val="22"/>
            <w:szCs w:val="22"/>
          </w:rPr>
          <w:t>Betrayal of Trust: Factsheet</w:t>
        </w:r>
      </w:hyperlink>
      <w:r w:rsidRPr="00352127">
        <w:rPr>
          <w:rFonts w:asciiTheme="minorHAnsi" w:hAnsiTheme="minorHAnsi" w:cstheme="minorHAnsi"/>
          <w:sz w:val="22"/>
          <w:szCs w:val="22"/>
        </w:rPr>
        <w:t>.</w:t>
      </w:r>
    </w:p>
    <w:p w14:paraId="357E1804" w14:textId="18A0AA14" w:rsidR="00E820D9" w:rsidRDefault="00E820D9" w:rsidP="004C4101">
      <w:pPr>
        <w:pStyle w:val="NormalWeb"/>
        <w:shd w:val="clear" w:color="auto" w:fill="FFFFFF" w:themeFill="background1"/>
        <w:spacing w:before="0" w:beforeAutospacing="0" w:after="0" w:afterAutospacing="0"/>
        <w:jc w:val="both"/>
        <w:rPr>
          <w:rFonts w:asciiTheme="minorHAnsi" w:hAnsiTheme="minorHAnsi" w:cstheme="minorHAnsi"/>
          <w:sz w:val="22"/>
          <w:szCs w:val="22"/>
        </w:rPr>
      </w:pPr>
      <w:r w:rsidRPr="00352127">
        <w:rPr>
          <w:rFonts w:asciiTheme="minorHAnsi" w:hAnsiTheme="minorHAnsi" w:cstheme="minorHAnsi"/>
          <w:sz w:val="22"/>
          <w:szCs w:val="22"/>
        </w:rPr>
        <w:t>For more information about managing and responding to the risk of abuse, see DET’s ‘</w:t>
      </w:r>
      <w:hyperlink r:id="rId40">
        <w:r w:rsidRPr="00352127">
          <w:rPr>
            <w:rStyle w:val="Hyperlink"/>
            <w:rFonts w:asciiTheme="minorHAnsi" w:eastAsia="Calibri" w:hAnsiTheme="minorHAnsi" w:cstheme="minorHAnsi"/>
            <w:sz w:val="22"/>
            <w:szCs w:val="22"/>
          </w:rPr>
          <w:t>Responding to Student Sexual Offending</w:t>
        </w:r>
      </w:hyperlink>
      <w:r w:rsidRPr="00352127">
        <w:rPr>
          <w:rFonts w:asciiTheme="minorHAnsi" w:hAnsiTheme="minorHAnsi" w:cstheme="minorHAnsi"/>
          <w:sz w:val="22"/>
          <w:szCs w:val="22"/>
        </w:rPr>
        <w:t>’ and ‘</w:t>
      </w:r>
      <w:hyperlink r:id="rId41">
        <w:r w:rsidRPr="00352127">
          <w:rPr>
            <w:rStyle w:val="Hyperlink"/>
            <w:rFonts w:asciiTheme="minorHAnsi" w:eastAsia="Calibri" w:hAnsiTheme="minorHAnsi" w:cstheme="minorHAnsi"/>
            <w:sz w:val="22"/>
            <w:szCs w:val="22"/>
          </w:rPr>
          <w:t>Risk Management</w:t>
        </w:r>
      </w:hyperlink>
      <w:r w:rsidRPr="00352127">
        <w:rPr>
          <w:rFonts w:asciiTheme="minorHAnsi" w:hAnsiTheme="minorHAnsi" w:cstheme="minorHAnsi"/>
          <w:sz w:val="22"/>
          <w:szCs w:val="22"/>
        </w:rPr>
        <w:t>’ webpages.</w:t>
      </w:r>
    </w:p>
    <w:p w14:paraId="66A99303" w14:textId="17823DA5" w:rsidR="00C451A5" w:rsidRDefault="00C451A5" w:rsidP="004C4101">
      <w:pPr>
        <w:pStyle w:val="NormalWeb"/>
        <w:shd w:val="clear" w:color="auto" w:fill="FFFFFF" w:themeFill="background1"/>
        <w:spacing w:before="0" w:beforeAutospacing="0" w:after="0" w:afterAutospacing="0"/>
        <w:jc w:val="both"/>
        <w:rPr>
          <w:rFonts w:asciiTheme="minorHAnsi" w:hAnsiTheme="minorHAnsi" w:cstheme="minorHAnsi"/>
          <w:sz w:val="22"/>
          <w:szCs w:val="22"/>
        </w:rPr>
      </w:pPr>
    </w:p>
    <w:p w14:paraId="10AD9668" w14:textId="2A12E7C6" w:rsidR="00390142" w:rsidRDefault="00390142" w:rsidP="004C4101">
      <w:pPr>
        <w:spacing w:after="0"/>
        <w:rPr>
          <w:rStyle w:val="Emphasis"/>
          <w:rFonts w:eastAsia="Times New Roman" w:cstheme="minorHAnsi"/>
          <w:b/>
          <w:bCs/>
          <w:lang w:eastAsia="en-AU"/>
        </w:rPr>
      </w:pPr>
    </w:p>
    <w:p w14:paraId="416C1DA8" w14:textId="033E8629" w:rsidR="00E820D9" w:rsidRPr="00352127" w:rsidRDefault="00E820D9" w:rsidP="003C1F57">
      <w:pPr>
        <w:pStyle w:val="NormalWeb"/>
        <w:shd w:val="clear" w:color="auto" w:fill="FFFFFF" w:themeFill="background1"/>
        <w:spacing w:before="0" w:beforeAutospacing="0" w:after="160" w:afterAutospacing="0"/>
        <w:rPr>
          <w:rFonts w:asciiTheme="minorHAnsi" w:hAnsiTheme="minorHAnsi" w:cstheme="minorHAnsi"/>
          <w:sz w:val="22"/>
          <w:szCs w:val="22"/>
        </w:rPr>
      </w:pPr>
      <w:r w:rsidRPr="004C4101">
        <w:rPr>
          <w:rStyle w:val="Emphasis"/>
          <w:rFonts w:asciiTheme="minorHAnsi" w:hAnsiTheme="minorHAnsi" w:cstheme="minorHAnsi"/>
          <w:b/>
          <w:bCs/>
          <w:i w:val="0"/>
          <w:iCs w:val="0"/>
          <w:sz w:val="22"/>
          <w:szCs w:val="22"/>
        </w:rPr>
        <w:t>2.4</w:t>
      </w:r>
      <w:r w:rsidRPr="00352127">
        <w:rPr>
          <w:rStyle w:val="Emphasis"/>
          <w:rFonts w:asciiTheme="minorHAnsi" w:hAnsiTheme="minorHAnsi" w:cstheme="minorHAnsi"/>
          <w:b/>
          <w:bCs/>
          <w:sz w:val="22"/>
          <w:szCs w:val="22"/>
        </w:rPr>
        <w:t> </w:t>
      </w:r>
      <w:r w:rsidRPr="003C1F57">
        <w:rPr>
          <w:rStyle w:val="Emphasis"/>
          <w:rFonts w:asciiTheme="minorHAnsi" w:hAnsiTheme="minorHAnsi" w:cs="Arial"/>
          <w:b/>
          <w:bCs/>
          <w:color w:val="313131"/>
        </w:rPr>
        <w:t>Education</w:t>
      </w:r>
      <w:r w:rsidRPr="00352127">
        <w:rPr>
          <w:rStyle w:val="Emphasis"/>
          <w:rFonts w:asciiTheme="minorHAnsi" w:hAnsiTheme="minorHAnsi" w:cstheme="minorHAnsi"/>
          <w:b/>
          <w:bCs/>
          <w:sz w:val="22"/>
          <w:szCs w:val="22"/>
        </w:rPr>
        <w:t xml:space="preserve"> and Training Reform Act </w:t>
      </w:r>
      <w:r w:rsidRPr="009677DB">
        <w:rPr>
          <w:rStyle w:val="Emphasis"/>
          <w:rFonts w:asciiTheme="minorHAnsi" w:hAnsiTheme="minorHAnsi" w:cstheme="minorHAnsi"/>
          <w:b/>
          <w:bCs/>
          <w:i w:val="0"/>
          <w:iCs w:val="0"/>
          <w:sz w:val="22"/>
          <w:szCs w:val="22"/>
        </w:rPr>
        <w:t>2006 </w:t>
      </w:r>
      <w:r w:rsidRPr="004E78BC">
        <w:rPr>
          <w:rFonts w:asciiTheme="minorHAnsi" w:hAnsiTheme="minorHAnsi" w:cstheme="minorHAnsi"/>
          <w:b/>
          <w:bCs/>
          <w:sz w:val="22"/>
          <w:szCs w:val="22"/>
        </w:rPr>
        <w:t>(Vic.)</w:t>
      </w:r>
      <w:r w:rsidRPr="00352127">
        <w:rPr>
          <w:rFonts w:asciiTheme="minorHAnsi" w:hAnsiTheme="minorHAnsi" w:cstheme="minorHAnsi"/>
          <w:b/>
          <w:bCs/>
          <w:sz w:val="22"/>
          <w:szCs w:val="22"/>
        </w:rPr>
        <w:t xml:space="preserve"> </w:t>
      </w:r>
      <w:r w:rsidR="009677DB">
        <w:rPr>
          <w:rFonts w:asciiTheme="minorHAnsi" w:hAnsiTheme="minorHAnsi" w:cstheme="minorHAnsi"/>
          <w:b/>
          <w:bCs/>
        </w:rPr>
        <w:t>–</w:t>
      </w:r>
      <w:r w:rsidRPr="00352127">
        <w:rPr>
          <w:rFonts w:asciiTheme="minorHAnsi" w:hAnsiTheme="minorHAnsi" w:cstheme="minorHAnsi"/>
          <w:b/>
          <w:bCs/>
          <w:sz w:val="22"/>
          <w:szCs w:val="22"/>
        </w:rPr>
        <w:t xml:space="preserve"> Child</w:t>
      </w:r>
      <w:r w:rsidR="009677DB">
        <w:rPr>
          <w:rFonts w:asciiTheme="minorHAnsi" w:hAnsiTheme="minorHAnsi" w:cstheme="minorHAnsi"/>
          <w:b/>
          <w:bCs/>
        </w:rPr>
        <w:t xml:space="preserve"> </w:t>
      </w:r>
      <w:r w:rsidRPr="00352127">
        <w:rPr>
          <w:rFonts w:asciiTheme="minorHAnsi" w:hAnsiTheme="minorHAnsi" w:cstheme="minorHAnsi"/>
          <w:b/>
          <w:bCs/>
          <w:sz w:val="22"/>
          <w:szCs w:val="22"/>
        </w:rPr>
        <w:t>safety obligations</w:t>
      </w:r>
    </w:p>
    <w:p w14:paraId="6BBA8574" w14:textId="77777777" w:rsidR="00E820D9" w:rsidRPr="00352127" w:rsidRDefault="00E820D9" w:rsidP="00325AEA">
      <w:pPr>
        <w:pStyle w:val="NormalWeb"/>
        <w:shd w:val="clear" w:color="auto" w:fill="FFFFFF"/>
        <w:spacing w:before="0" w:beforeAutospacing="0" w:after="0" w:afterAutospacing="0"/>
        <w:jc w:val="both"/>
        <w:rPr>
          <w:rFonts w:asciiTheme="minorHAnsi" w:hAnsiTheme="minorHAnsi" w:cstheme="minorHAnsi"/>
          <w:sz w:val="22"/>
          <w:szCs w:val="22"/>
        </w:rPr>
      </w:pPr>
      <w:r w:rsidRPr="00352127">
        <w:rPr>
          <w:rFonts w:asciiTheme="minorHAnsi" w:hAnsiTheme="minorHAnsi" w:cstheme="minorHAnsi"/>
          <w:sz w:val="22"/>
          <w:szCs w:val="22"/>
        </w:rPr>
        <w:t>From a child safety perspective, the key functions of the </w:t>
      </w:r>
      <w:r w:rsidRPr="00352127">
        <w:rPr>
          <w:rStyle w:val="Emphasis"/>
          <w:rFonts w:asciiTheme="minorHAnsi" w:hAnsiTheme="minorHAnsi" w:cstheme="minorHAnsi"/>
          <w:sz w:val="22"/>
          <w:szCs w:val="22"/>
        </w:rPr>
        <w:t>Education and Training Reform Act 2006 </w:t>
      </w:r>
      <w:r w:rsidRPr="00352127">
        <w:rPr>
          <w:rFonts w:asciiTheme="minorHAnsi" w:hAnsiTheme="minorHAnsi" w:cstheme="minorHAnsi"/>
          <w:sz w:val="22"/>
          <w:szCs w:val="22"/>
        </w:rPr>
        <w:t>(Vic.) are to:</w:t>
      </w:r>
    </w:p>
    <w:p w14:paraId="6D9EA1A8" w14:textId="77777777" w:rsidR="00E820D9" w:rsidRPr="00CE2AE1" w:rsidRDefault="00E820D9" w:rsidP="00325AEA">
      <w:pPr>
        <w:numPr>
          <w:ilvl w:val="0"/>
          <w:numId w:val="7"/>
        </w:numPr>
        <w:shd w:val="clear" w:color="auto" w:fill="FFFFFF"/>
        <w:spacing w:before="60" w:after="0"/>
        <w:ind w:left="714" w:hanging="357"/>
        <w:rPr>
          <w:rFonts w:cstheme="minorHAnsi"/>
        </w:rPr>
      </w:pPr>
      <w:r w:rsidRPr="00CE2AE1">
        <w:rPr>
          <w:rFonts w:cstheme="minorHAnsi"/>
        </w:rPr>
        <w:t>require schools to notify the Victorian Institute of Teaching (VIT) when a school has taken action against a teacher</w:t>
      </w:r>
    </w:p>
    <w:p w14:paraId="3F3DD900" w14:textId="14EA7C24" w:rsidR="00325AEA" w:rsidRPr="00390142" w:rsidRDefault="00E820D9" w:rsidP="00390142">
      <w:pPr>
        <w:numPr>
          <w:ilvl w:val="0"/>
          <w:numId w:val="7"/>
        </w:numPr>
        <w:shd w:val="clear" w:color="auto" w:fill="FFFFFF"/>
        <w:spacing w:before="60"/>
        <w:ind w:left="714" w:hanging="357"/>
        <w:rPr>
          <w:rFonts w:cstheme="minorHAnsi"/>
        </w:rPr>
      </w:pPr>
      <w:r w:rsidRPr="00CE2AE1">
        <w:rPr>
          <w:rFonts w:cstheme="minorHAnsi"/>
        </w:rPr>
        <w:t>ensure compliance with the Victorian Child Safe Standards as a requirement of registration for all Victorian schools.</w:t>
      </w:r>
    </w:p>
    <w:p w14:paraId="735F0FC1" w14:textId="77777777" w:rsidR="00325AEA" w:rsidRDefault="00E820D9" w:rsidP="00325AEA">
      <w:pPr>
        <w:spacing w:after="0"/>
        <w:jc w:val="both"/>
        <w:rPr>
          <w:rFonts w:cstheme="minorHAnsi"/>
          <w:shd w:val="clear" w:color="auto" w:fill="FFFFFF"/>
        </w:rPr>
      </w:pPr>
      <w:r w:rsidRPr="00CE2AE1">
        <w:rPr>
          <w:rFonts w:cstheme="minorHAnsi"/>
          <w:shd w:val="clear" w:color="auto" w:fill="FFFFFF"/>
        </w:rPr>
        <w:lastRenderedPageBreak/>
        <w:t>A registered school must ensure that the care, safety and welfare of all students attending the school are in accordance with all applicable Victorian and Commonwealth laws, and that all staff employed at the school are advised of their obligations to child safety.</w:t>
      </w:r>
    </w:p>
    <w:p w14:paraId="6F9896B7" w14:textId="20EC48B1" w:rsidR="00E820D9" w:rsidRPr="00CE2AE1" w:rsidRDefault="00E820D9" w:rsidP="00325AEA">
      <w:pPr>
        <w:spacing w:after="0"/>
        <w:jc w:val="both"/>
        <w:rPr>
          <w:rFonts w:cstheme="minorHAnsi"/>
        </w:rPr>
      </w:pPr>
      <w:r w:rsidRPr="00CE2AE1">
        <w:rPr>
          <w:rFonts w:cstheme="minorHAnsi"/>
        </w:rPr>
        <w:br/>
      </w:r>
    </w:p>
    <w:p w14:paraId="4BDAD64D" w14:textId="77777777" w:rsidR="00E820D9" w:rsidRPr="004E78BC" w:rsidRDefault="00E820D9" w:rsidP="004B0838">
      <w:pPr>
        <w:pStyle w:val="Heading6"/>
        <w:shd w:val="clear" w:color="auto" w:fill="FFFFFF"/>
        <w:spacing w:before="0" w:after="240"/>
        <w:rPr>
          <w:rFonts w:asciiTheme="minorHAnsi" w:hAnsiTheme="minorHAnsi" w:cstheme="minorHAnsi"/>
          <w:i/>
          <w:iCs/>
          <w:color w:val="auto"/>
        </w:rPr>
      </w:pPr>
      <w:r w:rsidRPr="004C7F47">
        <w:rPr>
          <w:rStyle w:val="Emphasis"/>
          <w:rFonts w:asciiTheme="minorHAnsi" w:hAnsiTheme="minorHAnsi" w:cstheme="minorHAnsi"/>
          <w:b/>
          <w:bCs/>
          <w:i w:val="0"/>
          <w:iCs w:val="0"/>
          <w:color w:val="auto"/>
        </w:rPr>
        <w:t>2.5</w:t>
      </w:r>
      <w:r w:rsidRPr="00CE2AE1">
        <w:rPr>
          <w:rStyle w:val="Emphasis"/>
          <w:rFonts w:asciiTheme="minorHAnsi" w:hAnsiTheme="minorHAnsi" w:cstheme="minorHAnsi"/>
          <w:b/>
          <w:bCs/>
          <w:color w:val="auto"/>
        </w:rPr>
        <w:t xml:space="preserve"> Wrongs Act 1958 </w:t>
      </w:r>
      <w:r w:rsidRPr="004E78BC">
        <w:rPr>
          <w:rStyle w:val="Emphasis"/>
          <w:rFonts w:asciiTheme="minorHAnsi" w:hAnsiTheme="minorHAnsi" w:cstheme="minorHAnsi"/>
          <w:b/>
          <w:bCs/>
          <w:i w:val="0"/>
          <w:iCs w:val="0"/>
          <w:color w:val="auto"/>
        </w:rPr>
        <w:t>(Vic.) and duty of care</w:t>
      </w:r>
    </w:p>
    <w:p w14:paraId="255C3080" w14:textId="77777777" w:rsidR="00E820D9" w:rsidRPr="00CE2AE1" w:rsidRDefault="00E820D9" w:rsidP="00C451A5">
      <w:pPr>
        <w:pStyle w:val="Heading6"/>
        <w:shd w:val="clear" w:color="auto" w:fill="FFFFFF"/>
        <w:spacing w:before="0" w:after="160"/>
        <w:jc w:val="both"/>
        <w:rPr>
          <w:rFonts w:asciiTheme="minorHAnsi" w:hAnsiTheme="minorHAnsi" w:cstheme="minorHAnsi"/>
          <w:bCs/>
          <w:color w:val="auto"/>
        </w:rPr>
      </w:pPr>
      <w:r w:rsidRPr="00CE2AE1">
        <w:rPr>
          <w:rStyle w:val="Strong"/>
          <w:rFonts w:asciiTheme="minorHAnsi" w:hAnsiTheme="minorHAnsi" w:cstheme="minorHAnsi"/>
          <w:color w:val="auto"/>
        </w:rPr>
        <w:t>Organisational duty of care</w:t>
      </w:r>
    </w:p>
    <w:p w14:paraId="06B9F5A8" w14:textId="77777777" w:rsidR="00325AEA" w:rsidRDefault="00E820D9" w:rsidP="00325AEA">
      <w:pPr>
        <w:pStyle w:val="NormalWeb"/>
        <w:shd w:val="clear" w:color="auto" w:fill="FFFFFF"/>
        <w:spacing w:before="0" w:beforeAutospacing="0" w:after="160" w:afterAutospacing="0"/>
        <w:jc w:val="both"/>
        <w:rPr>
          <w:rFonts w:asciiTheme="minorHAnsi" w:hAnsiTheme="minorHAnsi" w:cstheme="minorHAnsi"/>
          <w:sz w:val="22"/>
          <w:szCs w:val="22"/>
        </w:rPr>
      </w:pPr>
      <w:r w:rsidRPr="00CE2AE1">
        <w:rPr>
          <w:rFonts w:asciiTheme="minorHAnsi" w:hAnsiTheme="minorHAnsi" w:cstheme="minorHAnsi"/>
          <w:sz w:val="22"/>
          <w:szCs w:val="22"/>
        </w:rPr>
        <w:t>The </w:t>
      </w:r>
      <w:r w:rsidRPr="00CE2AE1">
        <w:rPr>
          <w:rStyle w:val="Emphasis"/>
          <w:rFonts w:asciiTheme="minorHAnsi" w:hAnsiTheme="minorHAnsi" w:cstheme="minorHAnsi"/>
          <w:sz w:val="22"/>
          <w:szCs w:val="22"/>
        </w:rPr>
        <w:t>Wrongs Act 1958</w:t>
      </w:r>
      <w:r w:rsidRPr="00CE2AE1">
        <w:rPr>
          <w:rFonts w:asciiTheme="minorHAnsi" w:hAnsiTheme="minorHAnsi" w:cstheme="minorHAnsi"/>
          <w:sz w:val="22"/>
          <w:szCs w:val="22"/>
        </w:rPr>
        <w:t> (Vic.) creates an organisational liability for child abuse for organisations that exercise care, supervision or authority over children. This is colloquially referred to as an ‘organisational duty of care’.</w:t>
      </w:r>
    </w:p>
    <w:p w14:paraId="06CF06D5" w14:textId="77777777" w:rsidR="00325AEA" w:rsidRDefault="00E820D9" w:rsidP="00325AEA">
      <w:pPr>
        <w:pStyle w:val="NormalWeb"/>
        <w:shd w:val="clear" w:color="auto" w:fill="FFFFFF"/>
        <w:spacing w:before="0" w:beforeAutospacing="0" w:after="160" w:afterAutospacing="0"/>
        <w:jc w:val="both"/>
        <w:rPr>
          <w:rFonts w:asciiTheme="minorHAnsi" w:hAnsiTheme="minorHAnsi" w:cstheme="minorHAnsi"/>
          <w:sz w:val="22"/>
          <w:szCs w:val="22"/>
        </w:rPr>
      </w:pPr>
      <w:r w:rsidRPr="00CE2AE1">
        <w:rPr>
          <w:rFonts w:asciiTheme="minorHAnsi" w:hAnsiTheme="minorHAnsi" w:cstheme="minorHAnsi"/>
          <w:sz w:val="22"/>
          <w:szCs w:val="22"/>
        </w:rPr>
        <w:t>Schools owe a duty to take reasonable precautions to prevent the abuse (sexual or physical) of a child (under 18) by an individual associated with the school while the child is under the care, supervision or authority of the school.</w:t>
      </w:r>
    </w:p>
    <w:p w14:paraId="14F77038" w14:textId="77777777" w:rsidR="00325AEA" w:rsidRDefault="00E820D9" w:rsidP="00325AEA">
      <w:pPr>
        <w:pStyle w:val="NormalWeb"/>
        <w:shd w:val="clear" w:color="auto" w:fill="FFFFFF"/>
        <w:spacing w:before="0" w:beforeAutospacing="0" w:after="160" w:afterAutospacing="0"/>
        <w:jc w:val="both"/>
        <w:rPr>
          <w:rFonts w:asciiTheme="minorHAnsi" w:hAnsiTheme="minorHAnsi" w:cstheme="minorHAnsi"/>
          <w:sz w:val="22"/>
          <w:szCs w:val="22"/>
        </w:rPr>
      </w:pPr>
      <w:r w:rsidRPr="00CE2AE1">
        <w:rPr>
          <w:rFonts w:asciiTheme="minorHAnsi" w:hAnsiTheme="minorHAnsi" w:cstheme="minorHAnsi"/>
          <w:sz w:val="22"/>
          <w:szCs w:val="22"/>
        </w:rPr>
        <w:t>Individuals associated with the school can include employees, volunteers, office holders, contractors, ministers of religion and religious leaders.</w:t>
      </w:r>
    </w:p>
    <w:p w14:paraId="5CBD60E3" w14:textId="7008998C" w:rsidR="00E820D9" w:rsidRPr="00CE2AE1" w:rsidRDefault="00E820D9" w:rsidP="00325AEA">
      <w:pPr>
        <w:pStyle w:val="NormalWeb"/>
        <w:shd w:val="clear" w:color="auto" w:fill="FFFFFF"/>
        <w:spacing w:before="0" w:beforeAutospacing="0" w:after="0" w:afterAutospacing="0"/>
        <w:jc w:val="both"/>
        <w:rPr>
          <w:rFonts w:asciiTheme="minorHAnsi" w:hAnsiTheme="minorHAnsi" w:cstheme="minorHAnsi"/>
          <w:sz w:val="22"/>
          <w:szCs w:val="22"/>
        </w:rPr>
      </w:pPr>
      <w:r w:rsidRPr="00CE2AE1">
        <w:rPr>
          <w:rFonts w:asciiTheme="minorHAnsi" w:hAnsiTheme="minorHAnsi" w:cstheme="minorHAnsi"/>
          <w:sz w:val="22"/>
          <w:szCs w:val="22"/>
        </w:rPr>
        <w:t>Reasonable precautions that a school could take are not defined in the </w:t>
      </w:r>
      <w:r w:rsidRPr="00CE2AE1">
        <w:rPr>
          <w:rStyle w:val="Emphasis"/>
          <w:rFonts w:asciiTheme="minorHAnsi" w:hAnsiTheme="minorHAnsi" w:cstheme="minorHAnsi"/>
          <w:sz w:val="22"/>
          <w:szCs w:val="22"/>
        </w:rPr>
        <w:t>Wrongs Act 1958</w:t>
      </w:r>
      <w:r w:rsidRPr="00CE2AE1">
        <w:rPr>
          <w:rFonts w:asciiTheme="minorHAnsi" w:hAnsiTheme="minorHAnsi" w:cstheme="minorHAnsi"/>
          <w:sz w:val="22"/>
          <w:szCs w:val="22"/>
        </w:rPr>
        <w:t> (Vic.) but, as examples, the following measures are what courts have previously considered to be reasonable precautions in the context of organisational child abuse:</w:t>
      </w:r>
    </w:p>
    <w:p w14:paraId="683ABBC1" w14:textId="77777777" w:rsidR="00E820D9" w:rsidRPr="00CE2AE1" w:rsidRDefault="00E820D9" w:rsidP="00325AEA">
      <w:pPr>
        <w:numPr>
          <w:ilvl w:val="0"/>
          <w:numId w:val="7"/>
        </w:numPr>
        <w:shd w:val="clear" w:color="auto" w:fill="FFFFFF"/>
        <w:spacing w:before="60" w:after="0"/>
        <w:ind w:left="714" w:hanging="357"/>
        <w:rPr>
          <w:rFonts w:cstheme="minorHAnsi"/>
        </w:rPr>
      </w:pPr>
      <w:r w:rsidRPr="00CE2AE1">
        <w:rPr>
          <w:rFonts w:cstheme="minorHAnsi"/>
        </w:rPr>
        <w:t>conducting employment screening and reference checking</w:t>
      </w:r>
    </w:p>
    <w:p w14:paraId="3041CC68" w14:textId="77777777" w:rsidR="00E820D9" w:rsidRPr="00CE2AE1" w:rsidRDefault="00E820D9" w:rsidP="00325AEA">
      <w:pPr>
        <w:numPr>
          <w:ilvl w:val="0"/>
          <w:numId w:val="7"/>
        </w:numPr>
        <w:shd w:val="clear" w:color="auto" w:fill="FFFFFF"/>
        <w:spacing w:before="60" w:after="0"/>
        <w:ind w:left="714" w:hanging="357"/>
        <w:rPr>
          <w:rFonts w:cstheme="minorHAnsi"/>
        </w:rPr>
      </w:pPr>
      <w:r w:rsidRPr="00CE2AE1">
        <w:rPr>
          <w:rFonts w:cstheme="minorHAnsi"/>
        </w:rPr>
        <w:t>providing supervision and training</w:t>
      </w:r>
    </w:p>
    <w:p w14:paraId="674B7DD5" w14:textId="77777777" w:rsidR="00E820D9" w:rsidRPr="00CE2AE1" w:rsidRDefault="00E820D9" w:rsidP="00325AEA">
      <w:pPr>
        <w:numPr>
          <w:ilvl w:val="0"/>
          <w:numId w:val="7"/>
        </w:numPr>
        <w:shd w:val="clear" w:color="auto" w:fill="FFFFFF"/>
        <w:spacing w:before="60" w:after="0"/>
        <w:ind w:left="714" w:hanging="357"/>
        <w:rPr>
          <w:rFonts w:cstheme="minorHAnsi"/>
        </w:rPr>
      </w:pPr>
      <w:r w:rsidRPr="00CE2AE1">
        <w:rPr>
          <w:rFonts w:cstheme="minorHAnsi"/>
        </w:rPr>
        <w:t>implementing systems to provide early warning of possible offences</w:t>
      </w:r>
    </w:p>
    <w:p w14:paraId="56273C3A" w14:textId="77777777" w:rsidR="00E820D9" w:rsidRPr="00CE2AE1" w:rsidRDefault="00E820D9" w:rsidP="00325AEA">
      <w:pPr>
        <w:numPr>
          <w:ilvl w:val="0"/>
          <w:numId w:val="7"/>
        </w:numPr>
        <w:shd w:val="clear" w:color="auto" w:fill="FFFFFF"/>
        <w:spacing w:before="60" w:after="0"/>
        <w:ind w:left="714" w:hanging="357"/>
        <w:rPr>
          <w:rFonts w:cstheme="minorHAnsi"/>
        </w:rPr>
      </w:pPr>
      <w:r w:rsidRPr="00CE2AE1">
        <w:rPr>
          <w:rFonts w:cstheme="minorHAnsi"/>
        </w:rPr>
        <w:t>performing random and unannounced inspections to deter misconduct</w:t>
      </w:r>
    </w:p>
    <w:p w14:paraId="3A3E73D5" w14:textId="77777777" w:rsidR="00E820D9" w:rsidRPr="00CE2AE1" w:rsidRDefault="00E820D9" w:rsidP="00325AEA">
      <w:pPr>
        <w:numPr>
          <w:ilvl w:val="0"/>
          <w:numId w:val="7"/>
        </w:numPr>
        <w:shd w:val="clear" w:color="auto" w:fill="FFFFFF"/>
        <w:spacing w:before="60" w:after="0"/>
        <w:ind w:left="714" w:hanging="357"/>
        <w:rPr>
          <w:rFonts w:cstheme="minorHAnsi"/>
        </w:rPr>
      </w:pPr>
      <w:r w:rsidRPr="00CE2AE1">
        <w:rPr>
          <w:rFonts w:cstheme="minorHAnsi"/>
        </w:rPr>
        <w:t>encouraging children and adults to notify authorities or parents about any signs of aberrant or unusual behaviour.</w:t>
      </w:r>
    </w:p>
    <w:p w14:paraId="374F3E62" w14:textId="2D67D40B" w:rsidR="00325AEA" w:rsidRPr="00390142" w:rsidRDefault="00E820D9" w:rsidP="004B0838">
      <w:pPr>
        <w:spacing w:after="0"/>
        <w:rPr>
          <w:rFonts w:cstheme="minorHAnsi"/>
          <w:shd w:val="clear" w:color="auto" w:fill="FFFFFF"/>
        </w:rPr>
      </w:pPr>
      <w:r w:rsidRPr="00CE2AE1">
        <w:rPr>
          <w:rFonts w:cstheme="minorHAnsi"/>
          <w:shd w:val="clear" w:color="auto" w:fill="FFFFFF"/>
        </w:rPr>
        <w:t> </w:t>
      </w:r>
    </w:p>
    <w:p w14:paraId="41F3789D" w14:textId="77777777" w:rsidR="00E820D9" w:rsidRPr="00CE2AE1" w:rsidRDefault="00E820D9" w:rsidP="00C451A5">
      <w:pPr>
        <w:pStyle w:val="Heading6"/>
        <w:shd w:val="clear" w:color="auto" w:fill="FFFFFF"/>
        <w:spacing w:before="0" w:after="160"/>
        <w:jc w:val="both"/>
        <w:rPr>
          <w:rFonts w:asciiTheme="minorHAnsi" w:hAnsiTheme="minorHAnsi" w:cstheme="minorHAnsi"/>
          <w:color w:val="auto"/>
        </w:rPr>
      </w:pPr>
      <w:r w:rsidRPr="00CE2AE1">
        <w:rPr>
          <w:rStyle w:val="Strong"/>
          <w:rFonts w:asciiTheme="minorHAnsi" w:hAnsiTheme="minorHAnsi" w:cstheme="minorHAnsi"/>
          <w:color w:val="auto"/>
        </w:rPr>
        <w:t>School staff duty of care</w:t>
      </w:r>
    </w:p>
    <w:p w14:paraId="04554967" w14:textId="77777777" w:rsidR="00325AEA" w:rsidRDefault="00E820D9" w:rsidP="00325AEA">
      <w:pPr>
        <w:pStyle w:val="NormalWeb"/>
        <w:shd w:val="clear" w:color="auto" w:fill="FFFFFF" w:themeFill="background1"/>
        <w:spacing w:before="0" w:beforeAutospacing="0" w:after="160" w:afterAutospacing="0" w:line="259" w:lineRule="auto"/>
        <w:jc w:val="both"/>
        <w:rPr>
          <w:rFonts w:asciiTheme="minorHAnsi" w:hAnsiTheme="minorHAnsi" w:cstheme="minorHAnsi"/>
          <w:sz w:val="22"/>
          <w:szCs w:val="22"/>
        </w:rPr>
      </w:pPr>
      <w:r w:rsidRPr="00CE2AE1">
        <w:rPr>
          <w:rFonts w:asciiTheme="minorHAnsi" w:hAnsiTheme="minorHAnsi" w:cstheme="minorHAnsi"/>
          <w:sz w:val="22"/>
          <w:szCs w:val="22"/>
        </w:rPr>
        <w:t>School staff have a duty to take reasonable steps to protect children and young people under their care and supervision from harm that is reasonably foreseeable (this duty applies to all school staff). The question of what constitutes reasonable steps will depend on the individual circumstances of each case.</w:t>
      </w:r>
    </w:p>
    <w:p w14:paraId="23CC83F7" w14:textId="77777777" w:rsidR="00325AEA" w:rsidRDefault="00E820D9" w:rsidP="00325AEA">
      <w:pPr>
        <w:pStyle w:val="NormalWeb"/>
        <w:shd w:val="clear" w:color="auto" w:fill="FFFFFF" w:themeFill="background1"/>
        <w:spacing w:before="0" w:beforeAutospacing="0" w:after="160" w:afterAutospacing="0" w:line="259" w:lineRule="auto"/>
        <w:jc w:val="both"/>
        <w:rPr>
          <w:rFonts w:asciiTheme="minorHAnsi" w:hAnsiTheme="minorHAnsi" w:cstheme="minorHAnsi"/>
          <w:sz w:val="22"/>
          <w:szCs w:val="22"/>
        </w:rPr>
      </w:pPr>
      <w:r w:rsidRPr="00CE2AE1">
        <w:rPr>
          <w:rFonts w:asciiTheme="minorHAnsi" w:hAnsiTheme="minorHAnsi" w:cstheme="minorHAnsi"/>
          <w:sz w:val="22"/>
          <w:szCs w:val="22"/>
        </w:rPr>
        <w:t xml:space="preserve">A staff member may breach their duty of care towards a </w:t>
      </w:r>
      <w:r w:rsidR="2C0D25FA" w:rsidRPr="00CE2AE1">
        <w:rPr>
          <w:rFonts w:asciiTheme="minorHAnsi" w:hAnsiTheme="minorHAnsi" w:cstheme="minorHAnsi"/>
          <w:sz w:val="22"/>
          <w:szCs w:val="22"/>
        </w:rPr>
        <w:t>child or young person</w:t>
      </w:r>
      <w:r w:rsidRPr="00CE2AE1">
        <w:rPr>
          <w:rFonts w:asciiTheme="minorHAnsi" w:hAnsiTheme="minorHAnsi" w:cstheme="minorHAnsi"/>
          <w:sz w:val="22"/>
          <w:szCs w:val="22"/>
        </w:rPr>
        <w:t xml:space="preserve"> if they fail to act in the way a reasonable or diligent professional would have acted in the same situation.</w:t>
      </w:r>
    </w:p>
    <w:p w14:paraId="3466E46B" w14:textId="567363E7" w:rsidR="00E820D9" w:rsidRPr="00CE2AE1" w:rsidRDefault="00E820D9" w:rsidP="00325AEA">
      <w:pPr>
        <w:pStyle w:val="NormalWeb"/>
        <w:shd w:val="clear" w:color="auto" w:fill="FFFFFF" w:themeFill="background1"/>
        <w:spacing w:before="0" w:beforeAutospacing="0" w:after="160" w:afterAutospacing="0" w:line="259" w:lineRule="auto"/>
        <w:jc w:val="both"/>
        <w:rPr>
          <w:rFonts w:asciiTheme="minorHAnsi" w:hAnsiTheme="minorHAnsi" w:cstheme="minorHAnsi"/>
          <w:sz w:val="22"/>
          <w:szCs w:val="22"/>
        </w:rPr>
      </w:pPr>
      <w:r w:rsidRPr="00CE2AE1">
        <w:rPr>
          <w:rFonts w:asciiTheme="minorHAnsi" w:hAnsiTheme="minorHAnsi" w:cstheme="minorHAnsi"/>
          <w:sz w:val="22"/>
          <w:szCs w:val="22"/>
        </w:rPr>
        <w:t>For more information on the scope of staff duty of care obligations and examples of reasonable steps they can take in relation to suspected child abuse, refer to the protocol </w:t>
      </w:r>
      <w:hyperlink r:id="rId42">
        <w:r w:rsidRPr="00CE2AE1">
          <w:rPr>
            <w:rStyle w:val="Emphasis"/>
            <w:rFonts w:asciiTheme="minorHAnsi" w:hAnsiTheme="minorHAnsi" w:cstheme="minorHAnsi"/>
            <w:sz w:val="22"/>
            <w:szCs w:val="22"/>
          </w:rPr>
          <w:t>Protect: Identifying and Responding to All Forms of Abuse in Victorian Schools</w:t>
        </w:r>
      </w:hyperlink>
      <w:r w:rsidRPr="00CE2AE1">
        <w:rPr>
          <w:rFonts w:asciiTheme="minorHAnsi" w:hAnsiTheme="minorHAnsi" w:cstheme="minorHAnsi"/>
          <w:sz w:val="22"/>
          <w:szCs w:val="22"/>
        </w:rPr>
        <w:t>.</w:t>
      </w:r>
    </w:p>
    <w:p w14:paraId="6A55BE5A" w14:textId="77777777" w:rsidR="00E820D9" w:rsidRPr="00390B2D" w:rsidRDefault="00E820D9" w:rsidP="004B0838">
      <w:pPr>
        <w:rPr>
          <w:rFonts w:cs="Times New Roman"/>
        </w:rPr>
      </w:pPr>
      <w:r w:rsidRPr="00390B2D">
        <w:rPr>
          <w:rFonts w:cs="Arial"/>
          <w:color w:val="313131"/>
          <w:shd w:val="clear" w:color="auto" w:fill="FFFFFF"/>
        </w:rPr>
        <w:t> </w:t>
      </w:r>
    </w:p>
    <w:p w14:paraId="512FC464" w14:textId="3BBF6CDF" w:rsidR="00A43EAD" w:rsidRPr="007C6D83" w:rsidRDefault="00A43EAD" w:rsidP="004B0838">
      <w:pPr>
        <w:widowControl w:val="0"/>
        <w:autoSpaceDE w:val="0"/>
        <w:autoSpaceDN w:val="0"/>
        <w:adjustRightInd w:val="0"/>
        <w:spacing w:after="120" w:line="240" w:lineRule="auto"/>
        <w:rPr>
          <w:rFonts w:ascii="Calibri" w:hAnsi="Calibri"/>
        </w:rPr>
      </w:pPr>
    </w:p>
    <w:sectPr w:rsidR="00A43EAD" w:rsidRPr="007C6D83" w:rsidSect="00D80924">
      <w:footerReference w:type="default" r:id="rId43"/>
      <w:headerReference w:type="first" r:id="rId44"/>
      <w:pgSz w:w="11906" w:h="16838"/>
      <w:pgMar w:top="1440" w:right="1440" w:bottom="1560" w:left="1440" w:header="147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E5000" w14:textId="77777777" w:rsidR="0057656B" w:rsidRDefault="0057656B" w:rsidP="00C83CF8">
      <w:pPr>
        <w:spacing w:after="0" w:line="240" w:lineRule="auto"/>
      </w:pPr>
      <w:r>
        <w:separator/>
      </w:r>
    </w:p>
  </w:endnote>
  <w:endnote w:type="continuationSeparator" w:id="0">
    <w:p w14:paraId="341F442D" w14:textId="77777777" w:rsidR="0057656B" w:rsidRDefault="0057656B" w:rsidP="00C8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50B0" w14:textId="1A0EA04A" w:rsidR="00103920" w:rsidRPr="001A553C" w:rsidRDefault="001A553C" w:rsidP="001A553C">
    <w:pPr>
      <w:pStyle w:val="Footer"/>
    </w:pPr>
    <w:r>
      <w:rPr>
        <w:noProof/>
        <w:lang w:eastAsia="en-AU"/>
      </w:rPr>
      <mc:AlternateContent>
        <mc:Choice Requires="wps">
          <w:drawing>
            <wp:anchor distT="45720" distB="45720" distL="114300" distR="114300" simplePos="0" relativeHeight="251675648" behindDoc="0" locked="0" layoutInCell="1" allowOverlap="1" wp14:anchorId="3985ABFB" wp14:editId="58237E45">
              <wp:simplePos x="0" y="0"/>
              <wp:positionH relativeFrom="column">
                <wp:posOffset>-93247</wp:posOffset>
              </wp:positionH>
              <wp:positionV relativeFrom="paragraph">
                <wp:posOffset>-267335</wp:posOffset>
              </wp:positionV>
              <wp:extent cx="6032370" cy="31108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370" cy="311085"/>
                      </a:xfrm>
                      <a:prstGeom prst="rect">
                        <a:avLst/>
                      </a:prstGeom>
                      <a:noFill/>
                      <a:ln w="9525">
                        <a:noFill/>
                        <a:miter lim="800000"/>
                        <a:headEnd/>
                        <a:tailEnd/>
                      </a:ln>
                    </wps:spPr>
                    <wps:txbx>
                      <w:txbxContent>
                        <w:p w14:paraId="77F13131" w14:textId="37AACC0A" w:rsidR="001A553C" w:rsidRPr="00BC57F3" w:rsidRDefault="001A553C" w:rsidP="001A553C">
                          <w:pPr>
                            <w:tabs>
                              <w:tab w:val="right" w:pos="9072"/>
                            </w:tabs>
                          </w:pPr>
                          <w:r w:rsidRPr="001A553C">
                            <w:rPr>
                              <w:sz w:val="18"/>
                              <w:szCs w:val="18"/>
                            </w:rPr>
                            <w:t xml:space="preserve">DOBCEL </w:t>
                          </w:r>
                          <w:r w:rsidR="001F5FC9">
                            <w:rPr>
                              <w:sz w:val="18"/>
                              <w:szCs w:val="18"/>
                            </w:rPr>
                            <w:t>Child Safeguarding: Reporting Obligations</w:t>
                          </w:r>
                          <w:r w:rsidRPr="001A553C">
                            <w:rPr>
                              <w:sz w:val="18"/>
                              <w:szCs w:val="18"/>
                            </w:rPr>
                            <w:t xml:space="preserve"> Policy 20</w:t>
                          </w:r>
                          <w:r w:rsidR="001F5FC9">
                            <w:rPr>
                              <w:sz w:val="18"/>
                              <w:szCs w:val="18"/>
                            </w:rPr>
                            <w:t>200515</w:t>
                          </w:r>
                          <w:r w:rsidRPr="00BC57F3">
                            <w:rPr>
                              <w:sz w:val="18"/>
                              <w:szCs w:val="18"/>
                            </w:rPr>
                            <w:tab/>
                          </w:r>
                          <w:r w:rsidRPr="00BC57F3">
                            <w:rPr>
                              <w:sz w:val="18"/>
                              <w:szCs w:val="18"/>
                            </w:rPr>
                            <w:fldChar w:fldCharType="begin"/>
                          </w:r>
                          <w:r w:rsidRPr="00BC57F3">
                            <w:rPr>
                              <w:sz w:val="18"/>
                              <w:szCs w:val="18"/>
                            </w:rPr>
                            <w:instrText xml:space="preserve"> PAGE   \* MERGEFORMAT </w:instrText>
                          </w:r>
                          <w:r w:rsidRPr="00BC57F3">
                            <w:rPr>
                              <w:sz w:val="18"/>
                              <w:szCs w:val="18"/>
                            </w:rPr>
                            <w:fldChar w:fldCharType="separate"/>
                          </w:r>
                          <w:r w:rsidR="00E20263">
                            <w:rPr>
                              <w:noProof/>
                              <w:sz w:val="18"/>
                              <w:szCs w:val="18"/>
                            </w:rPr>
                            <w:t>9</w:t>
                          </w:r>
                          <w:r w:rsidRPr="00BC57F3">
                            <w:rPr>
                              <w:noProof/>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5ABFB" id="_x0000_t202" coordsize="21600,21600" o:spt="202" path="m,l,21600r21600,l21600,xe">
              <v:stroke joinstyle="miter"/>
              <v:path gradientshapeok="t" o:connecttype="rect"/>
            </v:shapetype>
            <v:shape id="_x0000_s1029" type="#_x0000_t202" style="position:absolute;margin-left:-7.35pt;margin-top:-21.05pt;width:475pt;height:2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" filled="f" stroked="f">
              <v:textbox>
                <w:txbxContent>
                  <w:p w14:paraId="77F13131" w14:textId="37AACC0A" w:rsidR="001A553C" w:rsidRPr="00BC57F3" w:rsidRDefault="001A553C" w:rsidP="001A553C">
                    <w:pPr>
                      <w:tabs>
                        <w:tab w:val="right" w:pos="9072"/>
                      </w:tabs>
                    </w:pPr>
                    <w:r w:rsidRPr="001A553C">
                      <w:rPr>
                        <w:sz w:val="18"/>
                        <w:szCs w:val="18"/>
                      </w:rPr>
                      <w:t xml:space="preserve">DOBCEL </w:t>
                    </w:r>
                    <w:r w:rsidR="001F5FC9">
                      <w:rPr>
                        <w:sz w:val="18"/>
                        <w:szCs w:val="18"/>
                      </w:rPr>
                      <w:t>Child Safeguarding: Reporting Obligations</w:t>
                    </w:r>
                    <w:r w:rsidRPr="001A553C">
                      <w:rPr>
                        <w:sz w:val="18"/>
                        <w:szCs w:val="18"/>
                      </w:rPr>
                      <w:t xml:space="preserve"> Policy 20</w:t>
                    </w:r>
                    <w:r w:rsidR="001F5FC9">
                      <w:rPr>
                        <w:sz w:val="18"/>
                        <w:szCs w:val="18"/>
                      </w:rPr>
                      <w:t>200515</w:t>
                    </w:r>
                    <w:r w:rsidRPr="00BC57F3">
                      <w:rPr>
                        <w:sz w:val="18"/>
                        <w:szCs w:val="18"/>
                      </w:rPr>
                      <w:tab/>
                    </w:r>
                    <w:r w:rsidRPr="00BC57F3">
                      <w:rPr>
                        <w:sz w:val="18"/>
                        <w:szCs w:val="18"/>
                      </w:rPr>
                      <w:fldChar w:fldCharType="begin"/>
                    </w:r>
                    <w:r w:rsidRPr="00BC57F3">
                      <w:rPr>
                        <w:sz w:val="18"/>
                        <w:szCs w:val="18"/>
                      </w:rPr>
                      <w:instrText xml:space="preserve"> PAGE   \* MERGEFORMAT </w:instrText>
                    </w:r>
                    <w:r w:rsidRPr="00BC57F3">
                      <w:rPr>
                        <w:sz w:val="18"/>
                        <w:szCs w:val="18"/>
                      </w:rPr>
                      <w:fldChar w:fldCharType="separate"/>
                    </w:r>
                    <w:r w:rsidR="00E20263">
                      <w:rPr>
                        <w:noProof/>
                        <w:sz w:val="18"/>
                        <w:szCs w:val="18"/>
                      </w:rPr>
                      <w:t>9</w:t>
                    </w:r>
                    <w:r w:rsidRPr="00BC57F3">
                      <w:rPr>
                        <w:noProof/>
                        <w:sz w:val="18"/>
                        <w:szCs w:val="18"/>
                      </w:rPr>
                      <w:fldChar w:fldCharType="end"/>
                    </w:r>
                  </w:p>
                </w:txbxContent>
              </v:textbox>
            </v:shape>
          </w:pict>
        </mc:Fallback>
      </mc:AlternateContent>
    </w:r>
    <w:r>
      <w:rPr>
        <w:noProof/>
        <w:sz w:val="18"/>
        <w:szCs w:val="18"/>
        <w:lang w:eastAsia="en-AU"/>
      </w:rPr>
      <w:drawing>
        <wp:anchor distT="0" distB="0" distL="114300" distR="114300" simplePos="0" relativeHeight="251674624" behindDoc="1" locked="0" layoutInCell="1" allowOverlap="1" wp14:anchorId="64AFFED9" wp14:editId="4ED0A63E">
          <wp:simplePos x="0" y="0"/>
          <wp:positionH relativeFrom="column">
            <wp:posOffset>-909611</wp:posOffset>
          </wp:positionH>
          <wp:positionV relativeFrom="paragraph">
            <wp:posOffset>-48895</wp:posOffset>
          </wp:positionV>
          <wp:extent cx="7553739" cy="935990"/>
          <wp:effectExtent l="0" t="0" r="952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SAC_DarkBlueWaveWithRainbow-Footer-A4-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739" cy="935990"/>
                  </a:xfrm>
                  <a:prstGeom prst="rect">
                    <a:avLst/>
                  </a:prstGeom>
                </pic:spPr>
              </pic:pic>
            </a:graphicData>
          </a:graphic>
          <wp14:sizeRelH relativeFrom="margin">
            <wp14:pctWidth>0</wp14:pctWidth>
          </wp14:sizeRelH>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D42E7" w14:textId="77777777" w:rsidR="0057656B" w:rsidRDefault="0057656B" w:rsidP="00C83CF8">
      <w:pPr>
        <w:spacing w:after="0" w:line="240" w:lineRule="auto"/>
      </w:pPr>
      <w:r>
        <w:separator/>
      </w:r>
    </w:p>
  </w:footnote>
  <w:footnote w:type="continuationSeparator" w:id="0">
    <w:p w14:paraId="6F8C3CBB" w14:textId="77777777" w:rsidR="0057656B" w:rsidRDefault="0057656B" w:rsidP="00C83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50B1" w14:textId="21B6916C" w:rsidR="00634875" w:rsidRDefault="00D50E79">
    <w:pPr>
      <w:pStyle w:val="Header"/>
    </w:pPr>
    <w:r>
      <w:rPr>
        <w:noProof/>
        <w:lang w:eastAsia="en-AU"/>
      </w:rPr>
      <w:drawing>
        <wp:anchor distT="0" distB="0" distL="114300" distR="114300" simplePos="0" relativeHeight="251672576" behindDoc="0" locked="0" layoutInCell="1" allowOverlap="1" wp14:anchorId="16F1FC6E" wp14:editId="27C57988">
          <wp:simplePos x="0" y="0"/>
          <wp:positionH relativeFrom="column">
            <wp:posOffset>-342900</wp:posOffset>
          </wp:positionH>
          <wp:positionV relativeFrom="paragraph">
            <wp:posOffset>-515620</wp:posOffset>
          </wp:positionV>
          <wp:extent cx="2200350" cy="1160145"/>
          <wp:effectExtent l="0" t="0" r="9525"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OBCEL_White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350" cy="1160145"/>
                  </a:xfrm>
                  <a:prstGeom prst="rect">
                    <a:avLst/>
                  </a:prstGeom>
                </pic:spPr>
              </pic:pic>
            </a:graphicData>
          </a:graphic>
          <wp14:sizeRelH relativeFrom="margin">
            <wp14:pctWidth>0</wp14:pctWidth>
          </wp14:sizeRelH>
          <wp14:sizeRelV relativeFrom="margin">
            <wp14:pctHeight>0</wp14:pctHeight>
          </wp14:sizeRelV>
        </wp:anchor>
      </w:drawing>
    </w:r>
    <w:r w:rsidR="001F0A90">
      <w:rPr>
        <w:noProof/>
        <w:lang w:eastAsia="en-AU"/>
      </w:rPr>
      <w:drawing>
        <wp:anchor distT="0" distB="0" distL="114300" distR="114300" simplePos="0" relativeHeight="251669504" behindDoc="0" locked="0" layoutInCell="1" allowOverlap="1" wp14:anchorId="556564F4" wp14:editId="1E6C5944">
          <wp:simplePos x="0" y="0"/>
          <wp:positionH relativeFrom="column">
            <wp:posOffset>-901700</wp:posOffset>
          </wp:positionH>
          <wp:positionV relativeFrom="paragraph">
            <wp:posOffset>-2569293</wp:posOffset>
          </wp:positionV>
          <wp:extent cx="7539990" cy="4629785"/>
          <wp:effectExtent l="0" t="0" r="381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SAC_DarkBlueWaveWithRainbowHeader_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39990" cy="462978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B6E4D"/>
    <w:multiLevelType w:val="multilevel"/>
    <w:tmpl w:val="7968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95F6E"/>
    <w:multiLevelType w:val="multilevel"/>
    <w:tmpl w:val="B4E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C22E6"/>
    <w:multiLevelType w:val="multilevel"/>
    <w:tmpl w:val="14A2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BE298D"/>
    <w:multiLevelType w:val="multilevel"/>
    <w:tmpl w:val="A1B8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43E45"/>
    <w:multiLevelType w:val="multilevel"/>
    <w:tmpl w:val="5762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491C09"/>
    <w:multiLevelType w:val="multilevel"/>
    <w:tmpl w:val="6A16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EE159C"/>
    <w:multiLevelType w:val="multilevel"/>
    <w:tmpl w:val="63C6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20020E"/>
    <w:multiLevelType w:val="multilevel"/>
    <w:tmpl w:val="F4B8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5"/>
  </w:num>
  <w:num w:numId="5">
    <w:abstractNumId w:val="0"/>
  </w:num>
  <w:num w:numId="6">
    <w:abstractNumId w:val="2"/>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F8"/>
    <w:rsid w:val="00011686"/>
    <w:rsid w:val="00043864"/>
    <w:rsid w:val="000442C6"/>
    <w:rsid w:val="00082BB1"/>
    <w:rsid w:val="00091606"/>
    <w:rsid w:val="000C7BC5"/>
    <w:rsid w:val="000F367C"/>
    <w:rsid w:val="00103920"/>
    <w:rsid w:val="00127549"/>
    <w:rsid w:val="00157975"/>
    <w:rsid w:val="001902FE"/>
    <w:rsid w:val="001A553C"/>
    <w:rsid w:val="001E7337"/>
    <w:rsid w:val="001F0A90"/>
    <w:rsid w:val="001F13C6"/>
    <w:rsid w:val="001F416B"/>
    <w:rsid w:val="001F5FC9"/>
    <w:rsid w:val="002317D7"/>
    <w:rsid w:val="00231C25"/>
    <w:rsid w:val="00233318"/>
    <w:rsid w:val="002350CA"/>
    <w:rsid w:val="00250DF1"/>
    <w:rsid w:val="002655CF"/>
    <w:rsid w:val="00286993"/>
    <w:rsid w:val="00297497"/>
    <w:rsid w:val="002A1733"/>
    <w:rsid w:val="00320B1F"/>
    <w:rsid w:val="00325AEA"/>
    <w:rsid w:val="00330327"/>
    <w:rsid w:val="0035164E"/>
    <w:rsid w:val="00352127"/>
    <w:rsid w:val="00380C5A"/>
    <w:rsid w:val="00390142"/>
    <w:rsid w:val="003B6207"/>
    <w:rsid w:val="003C1F57"/>
    <w:rsid w:val="003E01D7"/>
    <w:rsid w:val="003F5BA4"/>
    <w:rsid w:val="00422B65"/>
    <w:rsid w:val="00425C80"/>
    <w:rsid w:val="00430A82"/>
    <w:rsid w:val="004430A8"/>
    <w:rsid w:val="00450460"/>
    <w:rsid w:val="00457E2A"/>
    <w:rsid w:val="004B0838"/>
    <w:rsid w:val="004C4101"/>
    <w:rsid w:val="004C7F47"/>
    <w:rsid w:val="004E506C"/>
    <w:rsid w:val="004E6459"/>
    <w:rsid w:val="004E78BC"/>
    <w:rsid w:val="0057656B"/>
    <w:rsid w:val="00585E26"/>
    <w:rsid w:val="005C3F34"/>
    <w:rsid w:val="005C6ADA"/>
    <w:rsid w:val="005D1635"/>
    <w:rsid w:val="005F2396"/>
    <w:rsid w:val="00634875"/>
    <w:rsid w:val="0066190C"/>
    <w:rsid w:val="00661E1A"/>
    <w:rsid w:val="006F0EDB"/>
    <w:rsid w:val="00731408"/>
    <w:rsid w:val="007551A8"/>
    <w:rsid w:val="007B71D4"/>
    <w:rsid w:val="007C6D83"/>
    <w:rsid w:val="007F3D6F"/>
    <w:rsid w:val="008367BA"/>
    <w:rsid w:val="0086195D"/>
    <w:rsid w:val="00885A19"/>
    <w:rsid w:val="008C3634"/>
    <w:rsid w:val="008C4AB8"/>
    <w:rsid w:val="009247A6"/>
    <w:rsid w:val="00954F06"/>
    <w:rsid w:val="009677DB"/>
    <w:rsid w:val="009D463C"/>
    <w:rsid w:val="009E4937"/>
    <w:rsid w:val="00A43EAD"/>
    <w:rsid w:val="00A46FF6"/>
    <w:rsid w:val="00A77481"/>
    <w:rsid w:val="00A96349"/>
    <w:rsid w:val="00AB0F88"/>
    <w:rsid w:val="00AD1237"/>
    <w:rsid w:val="00AD7FD5"/>
    <w:rsid w:val="00AE7339"/>
    <w:rsid w:val="00B07E56"/>
    <w:rsid w:val="00B256F3"/>
    <w:rsid w:val="00B3174D"/>
    <w:rsid w:val="00B32BA9"/>
    <w:rsid w:val="00B8762E"/>
    <w:rsid w:val="00B92E34"/>
    <w:rsid w:val="00BB6001"/>
    <w:rsid w:val="00BD4E34"/>
    <w:rsid w:val="00BD7147"/>
    <w:rsid w:val="00BF74E2"/>
    <w:rsid w:val="00C00ABA"/>
    <w:rsid w:val="00C01C1A"/>
    <w:rsid w:val="00C04B07"/>
    <w:rsid w:val="00C1530A"/>
    <w:rsid w:val="00C3750A"/>
    <w:rsid w:val="00C40C93"/>
    <w:rsid w:val="00C451A5"/>
    <w:rsid w:val="00C729CC"/>
    <w:rsid w:val="00C8103F"/>
    <w:rsid w:val="00C83CF8"/>
    <w:rsid w:val="00C94EA4"/>
    <w:rsid w:val="00CA6BDB"/>
    <w:rsid w:val="00CE2AE1"/>
    <w:rsid w:val="00D437C5"/>
    <w:rsid w:val="00D50E79"/>
    <w:rsid w:val="00D80924"/>
    <w:rsid w:val="00DF01A8"/>
    <w:rsid w:val="00DF6860"/>
    <w:rsid w:val="00E20263"/>
    <w:rsid w:val="00E37D23"/>
    <w:rsid w:val="00E654B4"/>
    <w:rsid w:val="00E73086"/>
    <w:rsid w:val="00E820D9"/>
    <w:rsid w:val="00EC2926"/>
    <w:rsid w:val="00EF4A72"/>
    <w:rsid w:val="00F12A67"/>
    <w:rsid w:val="00F45F94"/>
    <w:rsid w:val="00F515D3"/>
    <w:rsid w:val="00F65672"/>
    <w:rsid w:val="00F65BD0"/>
    <w:rsid w:val="00F70566"/>
    <w:rsid w:val="00F9185A"/>
    <w:rsid w:val="00FB4B91"/>
    <w:rsid w:val="00FE16A7"/>
    <w:rsid w:val="00FE2A5A"/>
    <w:rsid w:val="01172594"/>
    <w:rsid w:val="0295E3DA"/>
    <w:rsid w:val="03A7A0D8"/>
    <w:rsid w:val="03A883A6"/>
    <w:rsid w:val="04CA2342"/>
    <w:rsid w:val="05394175"/>
    <w:rsid w:val="060150BA"/>
    <w:rsid w:val="0644B021"/>
    <w:rsid w:val="07DA9AEE"/>
    <w:rsid w:val="08E17F2A"/>
    <w:rsid w:val="0932D80D"/>
    <w:rsid w:val="0964D888"/>
    <w:rsid w:val="09782740"/>
    <w:rsid w:val="0A8A1ED2"/>
    <w:rsid w:val="0BB63082"/>
    <w:rsid w:val="0C4F76C8"/>
    <w:rsid w:val="0EE82DA6"/>
    <w:rsid w:val="0F0BF74F"/>
    <w:rsid w:val="0F58BA8C"/>
    <w:rsid w:val="0FD52052"/>
    <w:rsid w:val="11E980AA"/>
    <w:rsid w:val="13171442"/>
    <w:rsid w:val="136E7020"/>
    <w:rsid w:val="15723B67"/>
    <w:rsid w:val="1703107C"/>
    <w:rsid w:val="1967D533"/>
    <w:rsid w:val="19C934DD"/>
    <w:rsid w:val="1A50D3F7"/>
    <w:rsid w:val="1AF970A5"/>
    <w:rsid w:val="1B70A86C"/>
    <w:rsid w:val="1C333FFE"/>
    <w:rsid w:val="1E67E660"/>
    <w:rsid w:val="1E99F7D9"/>
    <w:rsid w:val="1F160844"/>
    <w:rsid w:val="1F3A090C"/>
    <w:rsid w:val="1FB9F9DB"/>
    <w:rsid w:val="22A217F0"/>
    <w:rsid w:val="2350C558"/>
    <w:rsid w:val="249B7A2E"/>
    <w:rsid w:val="24A85F43"/>
    <w:rsid w:val="25CFE4C9"/>
    <w:rsid w:val="25F21BBE"/>
    <w:rsid w:val="26AA57C5"/>
    <w:rsid w:val="281AD827"/>
    <w:rsid w:val="2B5F958B"/>
    <w:rsid w:val="2B7384B5"/>
    <w:rsid w:val="2C0D25FA"/>
    <w:rsid w:val="2F0D8757"/>
    <w:rsid w:val="2F8C1716"/>
    <w:rsid w:val="30A0F17B"/>
    <w:rsid w:val="32C395DE"/>
    <w:rsid w:val="32E3E42D"/>
    <w:rsid w:val="335D0C3B"/>
    <w:rsid w:val="34423361"/>
    <w:rsid w:val="34590C93"/>
    <w:rsid w:val="349FA3A2"/>
    <w:rsid w:val="356011AC"/>
    <w:rsid w:val="36040989"/>
    <w:rsid w:val="3734E4EE"/>
    <w:rsid w:val="3820AA38"/>
    <w:rsid w:val="38507456"/>
    <w:rsid w:val="38624BD0"/>
    <w:rsid w:val="3A30616C"/>
    <w:rsid w:val="3BAE49DB"/>
    <w:rsid w:val="3BDCB08F"/>
    <w:rsid w:val="3C4DB667"/>
    <w:rsid w:val="3C8EA81B"/>
    <w:rsid w:val="3DEFDA0E"/>
    <w:rsid w:val="3E52EABC"/>
    <w:rsid w:val="3F35C45F"/>
    <w:rsid w:val="3FA47EA4"/>
    <w:rsid w:val="40997535"/>
    <w:rsid w:val="40E1B902"/>
    <w:rsid w:val="40F40720"/>
    <w:rsid w:val="4201A335"/>
    <w:rsid w:val="42CAA687"/>
    <w:rsid w:val="42CF1862"/>
    <w:rsid w:val="43186020"/>
    <w:rsid w:val="439E3DC6"/>
    <w:rsid w:val="43E36F4D"/>
    <w:rsid w:val="43FD9E91"/>
    <w:rsid w:val="44072345"/>
    <w:rsid w:val="45B26699"/>
    <w:rsid w:val="4636AFEE"/>
    <w:rsid w:val="4887A00C"/>
    <w:rsid w:val="48C0E929"/>
    <w:rsid w:val="48E838FC"/>
    <w:rsid w:val="4A8542E5"/>
    <w:rsid w:val="4B3566A9"/>
    <w:rsid w:val="4D430E95"/>
    <w:rsid w:val="4E35CD40"/>
    <w:rsid w:val="50637212"/>
    <w:rsid w:val="524A791D"/>
    <w:rsid w:val="52B0A316"/>
    <w:rsid w:val="52BE2F28"/>
    <w:rsid w:val="55FC12C8"/>
    <w:rsid w:val="56323365"/>
    <w:rsid w:val="563FDDEE"/>
    <w:rsid w:val="5643D52D"/>
    <w:rsid w:val="57CFB727"/>
    <w:rsid w:val="57D5C2F4"/>
    <w:rsid w:val="596E44F8"/>
    <w:rsid w:val="5A1929E1"/>
    <w:rsid w:val="5C8E3C92"/>
    <w:rsid w:val="5CB8908E"/>
    <w:rsid w:val="605A69FA"/>
    <w:rsid w:val="6094C689"/>
    <w:rsid w:val="60AA993F"/>
    <w:rsid w:val="629CAD3D"/>
    <w:rsid w:val="674D1FA0"/>
    <w:rsid w:val="68FB8FC0"/>
    <w:rsid w:val="69D90D01"/>
    <w:rsid w:val="6A5DC900"/>
    <w:rsid w:val="6AA1D416"/>
    <w:rsid w:val="6C4B459A"/>
    <w:rsid w:val="6CA58A23"/>
    <w:rsid w:val="6DCB29B4"/>
    <w:rsid w:val="6E714BDA"/>
    <w:rsid w:val="6E9FB883"/>
    <w:rsid w:val="6F73D64D"/>
    <w:rsid w:val="6F961CF7"/>
    <w:rsid w:val="712EA8B8"/>
    <w:rsid w:val="72752A95"/>
    <w:rsid w:val="72774914"/>
    <w:rsid w:val="73EDDCF2"/>
    <w:rsid w:val="7471E128"/>
    <w:rsid w:val="7626CFB6"/>
    <w:rsid w:val="774ACDF2"/>
    <w:rsid w:val="7767A420"/>
    <w:rsid w:val="789773C3"/>
    <w:rsid w:val="797A8558"/>
    <w:rsid w:val="7AE74D5A"/>
    <w:rsid w:val="7B480CE9"/>
    <w:rsid w:val="7B725B97"/>
    <w:rsid w:val="7E181DED"/>
    <w:rsid w:val="7F11729E"/>
    <w:rsid w:val="7F58B0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34500B"/>
  <w15:chartTrackingRefBased/>
  <w15:docId w15:val="{A608A5C0-3E12-4EA6-BF05-E53594D7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6F3"/>
  </w:style>
  <w:style w:type="paragraph" w:styleId="Heading1">
    <w:name w:val="heading 1"/>
    <w:basedOn w:val="Normal"/>
    <w:next w:val="Normal"/>
    <w:link w:val="Heading1Char"/>
    <w:uiPriority w:val="9"/>
    <w:qFormat/>
    <w:rsid w:val="00F656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71D4"/>
    <w:pPr>
      <w:keepNext/>
      <w:spacing w:after="0" w:line="240" w:lineRule="auto"/>
      <w:jc w:val="right"/>
      <w:outlineLvl w:val="1"/>
    </w:pPr>
    <w:rPr>
      <w:b/>
      <w:color w:val="FFFFFF" w:themeColor="background1"/>
      <w:sz w:val="24"/>
      <w:szCs w:val="24"/>
    </w:rPr>
  </w:style>
  <w:style w:type="paragraph" w:styleId="Heading3">
    <w:name w:val="heading 3"/>
    <w:basedOn w:val="Normal"/>
    <w:next w:val="Normal"/>
    <w:link w:val="Heading3Char"/>
    <w:uiPriority w:val="9"/>
    <w:unhideWhenUsed/>
    <w:qFormat/>
    <w:rsid w:val="00E820D9"/>
    <w:pPr>
      <w:keepNext/>
      <w:spacing w:after="0" w:line="240" w:lineRule="auto"/>
      <w:jc w:val="right"/>
      <w:outlineLvl w:val="2"/>
    </w:pPr>
    <w:rPr>
      <w:b/>
      <w:color w:val="FFFFFF" w:themeColor="background1"/>
      <w:sz w:val="28"/>
      <w:szCs w:val="28"/>
      <w:lang w:val="en-US"/>
    </w:rPr>
  </w:style>
  <w:style w:type="paragraph" w:styleId="Heading5">
    <w:name w:val="heading 5"/>
    <w:basedOn w:val="Normal"/>
    <w:next w:val="Normal"/>
    <w:link w:val="Heading5Char"/>
    <w:uiPriority w:val="9"/>
    <w:unhideWhenUsed/>
    <w:qFormat/>
    <w:rsid w:val="00E820D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E820D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CF8"/>
  </w:style>
  <w:style w:type="paragraph" w:styleId="Footer">
    <w:name w:val="footer"/>
    <w:basedOn w:val="Normal"/>
    <w:link w:val="FooterChar"/>
    <w:uiPriority w:val="99"/>
    <w:unhideWhenUsed/>
    <w:rsid w:val="00C83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CF8"/>
  </w:style>
  <w:style w:type="character" w:customStyle="1" w:styleId="Heading1Char">
    <w:name w:val="Heading 1 Char"/>
    <w:basedOn w:val="DefaultParagraphFont"/>
    <w:link w:val="Heading1"/>
    <w:uiPriority w:val="9"/>
    <w:rsid w:val="00F6567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65672"/>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86993"/>
    <w:rPr>
      <w:color w:val="0563C1" w:themeColor="hyperlink"/>
      <w:u w:val="single"/>
    </w:rPr>
  </w:style>
  <w:style w:type="table" w:styleId="PlainTable1">
    <w:name w:val="Plain Table 1"/>
    <w:basedOn w:val="TableNormal"/>
    <w:uiPriority w:val="41"/>
    <w:rsid w:val="00B256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uiPriority w:val="22"/>
    <w:qFormat/>
    <w:rsid w:val="00320B1F"/>
    <w:rPr>
      <w:b/>
      <w:bCs/>
    </w:rPr>
  </w:style>
  <w:style w:type="paragraph" w:styleId="BodyTextIndent">
    <w:name w:val="Body Text Indent"/>
    <w:basedOn w:val="Normal"/>
    <w:link w:val="BodyTextIndentChar"/>
    <w:rsid w:val="00BB600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B6001"/>
    <w:rPr>
      <w:rFonts w:ascii="Times New Roman" w:eastAsia="Times New Roman" w:hAnsi="Times New Roman" w:cs="Times New Roman"/>
      <w:sz w:val="24"/>
      <w:szCs w:val="24"/>
    </w:rPr>
  </w:style>
  <w:style w:type="paragraph" w:customStyle="1" w:styleId="Default">
    <w:name w:val="Default"/>
    <w:rsid w:val="00A46FF6"/>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Heading2Char">
    <w:name w:val="Heading 2 Char"/>
    <w:basedOn w:val="DefaultParagraphFont"/>
    <w:link w:val="Heading2"/>
    <w:uiPriority w:val="9"/>
    <w:rsid w:val="007B71D4"/>
    <w:rPr>
      <w:b/>
      <w:color w:val="FFFFFF" w:themeColor="background1"/>
      <w:sz w:val="24"/>
      <w:szCs w:val="24"/>
    </w:rPr>
  </w:style>
  <w:style w:type="character" w:customStyle="1" w:styleId="Heading5Char">
    <w:name w:val="Heading 5 Char"/>
    <w:basedOn w:val="DefaultParagraphFont"/>
    <w:link w:val="Heading5"/>
    <w:uiPriority w:val="9"/>
    <w:rsid w:val="00E820D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E820D9"/>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E820D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ertext">
    <w:name w:val="leadertext"/>
    <w:basedOn w:val="Normal"/>
    <w:rsid w:val="00E820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820D9"/>
    <w:rPr>
      <w:i/>
      <w:iCs/>
    </w:rPr>
  </w:style>
  <w:style w:type="paragraph" w:customStyle="1" w:styleId="msonormal0">
    <w:name w:val="msonormal"/>
    <w:basedOn w:val="Normal"/>
    <w:rsid w:val="00E820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E820D9"/>
    <w:rPr>
      <w:color w:val="605E5C"/>
      <w:shd w:val="clear" w:color="auto" w:fill="E1DFDD"/>
    </w:rPr>
  </w:style>
  <w:style w:type="character" w:customStyle="1" w:styleId="Heading3Char">
    <w:name w:val="Heading 3 Char"/>
    <w:basedOn w:val="DefaultParagraphFont"/>
    <w:link w:val="Heading3"/>
    <w:uiPriority w:val="9"/>
    <w:rsid w:val="00E820D9"/>
    <w:rPr>
      <w:b/>
      <w:color w:val="FFFFFF" w:themeColor="background1"/>
      <w:sz w:val="28"/>
      <w:szCs w:val="28"/>
      <w:lang w:val="en-US"/>
    </w:rPr>
  </w:style>
  <w:style w:type="paragraph" w:styleId="BalloonText">
    <w:name w:val="Balloon Text"/>
    <w:basedOn w:val="Normal"/>
    <w:link w:val="BalloonTextChar"/>
    <w:uiPriority w:val="99"/>
    <w:semiHidden/>
    <w:unhideWhenUsed/>
    <w:rsid w:val="001E7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337"/>
    <w:rPr>
      <w:rFonts w:ascii="Segoe UI" w:hAnsi="Segoe UI" w:cs="Segoe UI"/>
      <w:sz w:val="18"/>
      <w:szCs w:val="18"/>
    </w:rPr>
  </w:style>
  <w:style w:type="paragraph" w:styleId="BodyText">
    <w:name w:val="Body Text"/>
    <w:basedOn w:val="Normal"/>
    <w:link w:val="BodyTextChar"/>
    <w:uiPriority w:val="99"/>
    <w:unhideWhenUsed/>
    <w:rsid w:val="004B0838"/>
    <w:pPr>
      <w:jc w:val="both"/>
    </w:pPr>
  </w:style>
  <w:style w:type="character" w:customStyle="1" w:styleId="BodyTextChar">
    <w:name w:val="Body Text Char"/>
    <w:basedOn w:val="DefaultParagraphFont"/>
    <w:link w:val="BodyText"/>
    <w:uiPriority w:val="99"/>
    <w:rsid w:val="004B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vic.gov.au/Documents/about/programs/health/protect/FourCriticalActions_ChildAbuse.pdf" TargetMode="External"/><Relationship Id="rId18" Type="http://schemas.openxmlformats.org/officeDocument/2006/relationships/hyperlink" Target="http://www.education.vic.gov.au/Documents/about/programs/health/protect/ChildSafeStandard5_SchoolsGuide.pdf" TargetMode="External"/><Relationship Id="rId26" Type="http://schemas.openxmlformats.org/officeDocument/2006/relationships/hyperlink" Target="https://ccyp.vic.gov.au/assets/resources/RCSInfoSheetUpdates/Historical-Allegations-110718.pdf" TargetMode="External"/><Relationship Id="rId39" Type="http://schemas.openxmlformats.org/officeDocument/2006/relationships/hyperlink" Target="https://www.justice.vic.gov.au/sites/default/files/embridge_cache/emshare/original/public/2018/07/ea/2bff28cdf/grooming_betrayal_of_trust_factsheet_2017.pdf" TargetMode="External"/><Relationship Id="rId21" Type="http://schemas.openxmlformats.org/officeDocument/2006/relationships/hyperlink" Target="http://www.education.vic.gov.au/Documents/about/programs/health/protect/ChildSafeStandard5_SchoolsGuide.pdf" TargetMode="External"/><Relationship Id="rId34" Type="http://schemas.openxmlformats.org/officeDocument/2006/relationships/hyperlink" Target="https://www.justice.vic.gov.au/safer-communities/protecting-children-and-families/failure-to-disclose-offence" TargetMode="External"/><Relationship Id="rId42" Type="http://schemas.openxmlformats.org/officeDocument/2006/relationships/hyperlink" Target="http://www.education.vic.gov.au/Documents/about/programs/health/protect/ChildSafeStandard5_SchoolsGuide.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parliament.vic.gov.au/file_uploads/Inquiry_into_Handling_of_Abuse_Volume_2_FINAL_web_y78t3Wpb.pdf" TargetMode="External"/><Relationship Id="rId29" Type="http://schemas.openxmlformats.org/officeDocument/2006/relationships/hyperlink" Target="mailto:safeguarding@ceob.edu.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Documents/about/programs/health/protect/ChildSafeStandard5_SchoolsGuide.pdf" TargetMode="External"/><Relationship Id="rId24" Type="http://schemas.openxmlformats.org/officeDocument/2006/relationships/hyperlink" Target="https://ccyp.vic.gov.au/child-safety/resources/reportable-conduct-scheme-information-sheets/" TargetMode="External"/><Relationship Id="rId32" Type="http://schemas.openxmlformats.org/officeDocument/2006/relationships/hyperlink" Target="http://www.justice.vic.gov.au/home/safer%2Bcommunities/protecting%2Bchildren%2Band%2Bfamilies/failure%2Bto%2Bprotect%2Boffence" TargetMode="External"/><Relationship Id="rId37" Type="http://schemas.openxmlformats.org/officeDocument/2006/relationships/hyperlink" Target="https://www.justice.vic.gov.au/sites/default/files/embridge_cache/emshare/original/public/2018/07/a9/431cfe3d9/failure_to_protect_betrayal_of_trust_factsheet_2017.pdf" TargetMode="External"/><Relationship Id="rId40" Type="http://schemas.openxmlformats.org/officeDocument/2006/relationships/hyperlink" Target="https://www.education.vic.gov.au/school/principals/spag/safety/Pages/sexualassault.aspx"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ducation.vic.gov.au/Documents/about/programs/health/protect/FourCriticalActions_SSO.pdf" TargetMode="External"/><Relationship Id="rId23" Type="http://schemas.openxmlformats.org/officeDocument/2006/relationships/hyperlink" Target="http://www.education.vic.gov.au/Documents/about/programs/health/protect/ChildSafeStandard5_SchoolsGuide.pdf" TargetMode="External"/><Relationship Id="rId28" Type="http://schemas.openxmlformats.org/officeDocument/2006/relationships/hyperlink" Target="mailto:safeguarding@ceob.edu.au" TargetMode="External"/><Relationship Id="rId36" Type="http://schemas.openxmlformats.org/officeDocument/2006/relationships/hyperlink" Target="https://www.justice.vic.gov.au/safer-communities/protecting-children-and-families/failure-to-protect-a-new-criminal-offence-to" TargetMode="External"/><Relationship Id="rId10" Type="http://schemas.openxmlformats.org/officeDocument/2006/relationships/hyperlink" Target="https://www.dss.gov.au/our-responsibilities/families-and-children/publications-articles/protecting-children-is-everyones-business" TargetMode="External"/><Relationship Id="rId19" Type="http://schemas.openxmlformats.org/officeDocument/2006/relationships/hyperlink" Target="https://www.education.vic.gov.au/Documents/about/programs/health/protect/SSO_Policy.pdf" TargetMode="External"/><Relationship Id="rId31" Type="http://schemas.openxmlformats.org/officeDocument/2006/relationships/hyperlink" Target="http://www.justice.vic.gov.au/home/safer%2Bcommunities/protecting%2Bchildren%2Band%2Bfamilies/failure%2Bto%2Bdisclose%2Boffence"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vic.gov.au/Documents/about/programs/health/protect/PROTECT_Responding_TemplateSchools.pdf" TargetMode="External"/><Relationship Id="rId22" Type="http://schemas.openxmlformats.org/officeDocument/2006/relationships/hyperlink" Target="http://www.education.vic.gov.au/Documents/about/programs/health/protect/FourCriticalActions_ChildAbuse.pdf" TargetMode="External"/><Relationship Id="rId27" Type="http://schemas.openxmlformats.org/officeDocument/2006/relationships/hyperlink" Target="mailto:safeguarding@ceob.edu.au" TargetMode="External"/><Relationship Id="rId30" Type="http://schemas.openxmlformats.org/officeDocument/2006/relationships/hyperlink" Target="http://www.parliament.vic.gov.au/file_uploads/Inquiry_into_Handling_of_Abuse_Volume_2_FINAL_web_y78t3Wpb.pdf" TargetMode="External"/><Relationship Id="rId35" Type="http://schemas.openxmlformats.org/officeDocument/2006/relationships/hyperlink" Target="https://www.justice.vic.gov.au/sites/default/files/embridge_cache/emshare/original/public/2018/07/f0/bbce5bd2b/failure_to_disclose_betrayal_of_trust_factsheet_2017.pdf" TargetMode="External"/><Relationship Id="rId43"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education.vic.gov.au/Documents/about/programs/health/protect/SSO_Policy.pdf" TargetMode="External"/><Relationship Id="rId17" Type="http://schemas.openxmlformats.org/officeDocument/2006/relationships/hyperlink" Target="https://www.education.vic.gov.au/Documents/about/programs/health/protect/SSO_Policy.pdf" TargetMode="External"/><Relationship Id="rId25" Type="http://schemas.openxmlformats.org/officeDocument/2006/relationships/hyperlink" Target="mailto:safeguarding@ceob.edu.au" TargetMode="External"/><Relationship Id="rId33" Type="http://schemas.openxmlformats.org/officeDocument/2006/relationships/hyperlink" Target="http://www.justice.vic.gov.au/home/safer%2Bcommunities/protecting%2Bchildren%2Band%2Bfamilies/grooming%2Boffence" TargetMode="External"/><Relationship Id="rId38" Type="http://schemas.openxmlformats.org/officeDocument/2006/relationships/hyperlink" Target="https://www.justice.vic.gov.au/safer-communities/protecting-children-and-families/grooming-offence" TargetMode="External"/><Relationship Id="rId46" Type="http://schemas.openxmlformats.org/officeDocument/2006/relationships/theme" Target="theme/theme1.xml"/><Relationship Id="rId20" Type="http://schemas.openxmlformats.org/officeDocument/2006/relationships/hyperlink" Target="http://www.education.vic.gov.au/Documents/about/programs/health/protect/PROTECT_Responding_TemplateSchools.pdf" TargetMode="External"/><Relationship Id="rId41" Type="http://schemas.openxmlformats.org/officeDocument/2006/relationships/hyperlink" Target="http://www.education.vic.gov.au/school/principals/spag/governance/Pages/risk.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dda9c63-bf40-4040-b365-2060c71a4c47">
      <UserInfo>
        <DisplayName>Emma Newman</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8B9AD8B7300E4C8DB59D29AC9EAB2B" ma:contentTypeVersion="13" ma:contentTypeDescription="Create a new document." ma:contentTypeScope="" ma:versionID="455b47e1fb29eaa652ece7bc90f750bf">
  <xsd:schema xmlns:xsd="http://www.w3.org/2001/XMLSchema" xmlns:xs="http://www.w3.org/2001/XMLSchema" xmlns:p="http://schemas.microsoft.com/office/2006/metadata/properties" xmlns:ns3="94729de6-fe53-45b0-980e-eff921ccff1f" xmlns:ns4="2dda9c63-bf40-4040-b365-2060c71a4c47" targetNamespace="http://schemas.microsoft.com/office/2006/metadata/properties" ma:root="true" ma:fieldsID="07e5df4aad9da0bb72dd2cbb4002df1a" ns3:_="" ns4:_="">
    <xsd:import namespace="94729de6-fe53-45b0-980e-eff921ccff1f"/>
    <xsd:import namespace="2dda9c63-bf40-4040-b365-2060c71a4c4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29de6-fe53-45b0-980e-eff921ccf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a9c63-bf40-4040-b365-2060c71a4c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2A184-0735-42F1-AB09-765EB027E94F}">
  <ds:schemaRefs>
    <ds:schemaRef ds:uri="http://purl.org/dc/elements/1.1/"/>
    <ds:schemaRef ds:uri="94729de6-fe53-45b0-980e-eff921ccff1f"/>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infopath/2007/PartnerControls"/>
    <ds:schemaRef ds:uri="2dda9c63-bf40-4040-b365-2060c71a4c47"/>
  </ds:schemaRefs>
</ds:datastoreItem>
</file>

<file path=customXml/itemProps2.xml><?xml version="1.0" encoding="utf-8"?>
<ds:datastoreItem xmlns:ds="http://schemas.openxmlformats.org/officeDocument/2006/customXml" ds:itemID="{B287201E-3339-474C-87F8-5EC6A79FC13D}">
  <ds:schemaRefs>
    <ds:schemaRef ds:uri="http://schemas.microsoft.com/sharepoint/v3/contenttype/forms"/>
  </ds:schemaRefs>
</ds:datastoreItem>
</file>

<file path=customXml/itemProps3.xml><?xml version="1.0" encoding="utf-8"?>
<ds:datastoreItem xmlns:ds="http://schemas.openxmlformats.org/officeDocument/2006/customXml" ds:itemID="{2F1CE8D6-F0A8-4CDB-AC58-8A9917AA3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29de6-fe53-45b0-980e-eff921ccff1f"/>
    <ds:schemaRef ds:uri="2dda9c63-bf40-4040-b365-2060c71a4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4360</Words>
  <Characters>24853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Klain</dc:creator>
  <cp:keywords/>
  <dc:description/>
  <cp:lastModifiedBy>Donna Wood</cp:lastModifiedBy>
  <cp:revision>2</cp:revision>
  <cp:lastPrinted>2019-05-22T22:57:00Z</cp:lastPrinted>
  <dcterms:created xsi:type="dcterms:W3CDTF">2020-11-19T23:45:00Z</dcterms:created>
  <dcterms:modified xsi:type="dcterms:W3CDTF">2020-11-19T23:45:00Z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0x010100C38B9AD8B7300E4C8DB59D29AC9EAB2B</vt:lpwstr>
  </property>
</Properties>
</file>