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BF0135" w14:textId="77777777" w:rsidR="00B256F3" w:rsidRPr="00700AF3" w:rsidRDefault="00D50E79" w:rsidP="00320B1F">
      <w:pPr>
        <w:pStyle w:val="Heading1"/>
        <w:rPr>
          <w:b/>
        </w:rPr>
      </w:pPr>
      <w:r w:rsidRPr="002A1733">
        <w:rPr>
          <w:b/>
          <w:noProof/>
          <w:color w:val="391B7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D6C5F" wp14:editId="4DB335BA">
                <wp:simplePos x="0" y="0"/>
                <wp:positionH relativeFrom="column">
                  <wp:posOffset>2038350</wp:posOffset>
                </wp:positionH>
                <wp:positionV relativeFrom="paragraph">
                  <wp:posOffset>-2443481</wp:posOffset>
                </wp:positionV>
                <wp:extent cx="3886200" cy="771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D4534" w14:textId="77777777" w:rsidR="00B256F3" w:rsidRPr="00A61D69" w:rsidRDefault="009A2B9A" w:rsidP="00AF0BC8">
                            <w:pPr>
                              <w:pStyle w:val="Heading3"/>
                              <w:jc w:val="right"/>
                            </w:pPr>
                            <w:r w:rsidRPr="00A61D69">
                              <w:t xml:space="preserve">DOBCEL Anaphylaxis </w:t>
                            </w:r>
                            <w:r w:rsidR="00C153AB">
                              <w:t xml:space="preserve">Management </w:t>
                            </w:r>
                            <w:r w:rsidR="005D1635" w:rsidRPr="00A61D69"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D6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92.4pt;width:30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" filled="f" stroked="f">
                <v:textbox>
                  <w:txbxContent>
                    <w:p w14:paraId="16ED4534" w14:textId="77777777" w:rsidR="00B256F3" w:rsidRPr="00A61D69" w:rsidRDefault="009A2B9A" w:rsidP="00AF0BC8">
                      <w:pPr>
                        <w:pStyle w:val="Heading3"/>
                        <w:jc w:val="right"/>
                      </w:pPr>
                      <w:r w:rsidRPr="00A61D69">
                        <w:t xml:space="preserve">DOBCEL Anaphylaxis </w:t>
                      </w:r>
                      <w:r w:rsidR="00C153AB">
                        <w:t xml:space="preserve">Management </w:t>
                      </w:r>
                      <w:r w:rsidR="005D1635" w:rsidRPr="00A61D69"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Pr="002A1733">
        <w:rPr>
          <w:b/>
          <w:noProof/>
          <w:color w:val="391B76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2109C4" wp14:editId="6180A54E">
                <wp:simplePos x="0" y="0"/>
                <wp:positionH relativeFrom="column">
                  <wp:posOffset>990600</wp:posOffset>
                </wp:positionH>
                <wp:positionV relativeFrom="paragraph">
                  <wp:posOffset>-2813685</wp:posOffset>
                </wp:positionV>
                <wp:extent cx="4933950" cy="295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988D" w14:textId="77777777" w:rsidR="00D50E79" w:rsidRPr="007B71D4" w:rsidRDefault="00D50E79" w:rsidP="007B71D4">
                            <w:pPr>
                              <w:pStyle w:val="Heading2"/>
                            </w:pPr>
                            <w:r w:rsidRPr="007B71D4">
                              <w:t>DIOCESE OF BALLARAT CATHOLIC EDUCATION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2109C4" id="_x0000_s1027" type="#_x0000_t202" style="position:absolute;margin-left:78pt;margin-top:-221.55pt;width:388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" filled="f" stroked="f">
                <v:textbox>
                  <w:txbxContent>
                    <w:p w14:paraId="2676988D" w14:textId="77777777" w:rsidR="00D50E79" w:rsidRPr="007B71D4" w:rsidRDefault="00D50E79" w:rsidP="007B71D4">
                      <w:pPr>
                        <w:pStyle w:val="Heading2"/>
                      </w:pPr>
                      <w:r w:rsidRPr="007B71D4">
                        <w:t>DIOCESE OF BALLARAT CATHOLIC EDUCATION LIMITED</w:t>
                      </w:r>
                    </w:p>
                  </w:txbxContent>
                </v:textbox>
              </v:shape>
            </w:pict>
          </mc:Fallback>
        </mc:AlternateContent>
      </w:r>
      <w:r w:rsidR="001F0A90" w:rsidRPr="002A1733">
        <w:rPr>
          <w:b/>
          <w:noProof/>
          <w:color w:val="391B7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5279FA" wp14:editId="3A1E4117">
                <wp:simplePos x="0" y="0"/>
                <wp:positionH relativeFrom="column">
                  <wp:posOffset>4086225</wp:posOffset>
                </wp:positionH>
                <wp:positionV relativeFrom="paragraph">
                  <wp:posOffset>-1930317</wp:posOffset>
                </wp:positionV>
                <wp:extent cx="1838325" cy="768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7E2C" w14:textId="3E420E68" w:rsidR="002350CA" w:rsidRDefault="002350CA" w:rsidP="002350CA">
                            <w:pPr>
                              <w:spacing w:after="8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Reviewed</w:t>
                            </w:r>
                            <w:r w:rsidRPr="00700A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C40E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F0BC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October 2020</w:t>
                            </w:r>
                            <w:r w:rsidR="00C40E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  <w:r w:rsidRPr="00700A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7B1D3A" w14:textId="77777777" w:rsidR="00B256F3" w:rsidRDefault="00320B1F" w:rsidP="00B256F3">
                            <w:pPr>
                              <w:spacing w:after="8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Ratified</w:t>
                            </w:r>
                            <w:r w:rsidR="00B256F3" w:rsidRPr="00700A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350C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(Month Year)</w:t>
                            </w:r>
                          </w:p>
                          <w:p w14:paraId="0E1CF93D" w14:textId="71C56F0C" w:rsidR="00B256F3" w:rsidRPr="00700AF3" w:rsidRDefault="00320B1F" w:rsidP="00B256F3">
                            <w:pPr>
                              <w:spacing w:after="80" w:line="240" w:lineRule="auto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Next Review</w:t>
                            </w:r>
                            <w:r w:rsidR="00B256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C40E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F0BC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October 2023</w:t>
                            </w:r>
                            <w:r w:rsidR="00C40E7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  <w:r w:rsidR="00B256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279FA" id="_x0000_s1028" type="#_x0000_t202" style="position:absolute;margin-left:321.75pt;margin-top:-152pt;width:144.75pt;height:6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" filled="f" stroked="f">
                <v:textbox>
                  <w:txbxContent>
                    <w:p w14:paraId="283E7E2C" w14:textId="3E420E68" w:rsidR="002350CA" w:rsidRDefault="002350CA" w:rsidP="002350CA">
                      <w:pPr>
                        <w:spacing w:after="8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Reviewed</w:t>
                      </w:r>
                      <w:r w:rsidRPr="00700AF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C40E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</w:t>
                      </w:r>
                      <w:r w:rsidR="00AF0BC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October 2020</w:t>
                      </w:r>
                      <w:r w:rsidR="00C40E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  <w:r w:rsidRPr="00700AF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7B1D3A" w14:textId="77777777" w:rsidR="00B256F3" w:rsidRDefault="00320B1F" w:rsidP="00B256F3">
                      <w:pPr>
                        <w:spacing w:after="8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Ratified</w:t>
                      </w:r>
                      <w:r w:rsidR="00B256F3" w:rsidRPr="00700AF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2350C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(Month Year)</w:t>
                      </w:r>
                    </w:p>
                    <w:p w14:paraId="0E1CF93D" w14:textId="71C56F0C" w:rsidR="00B256F3" w:rsidRPr="00700AF3" w:rsidRDefault="00320B1F" w:rsidP="00B256F3">
                      <w:pPr>
                        <w:spacing w:after="80" w:line="240" w:lineRule="auto"/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Next Review</w:t>
                      </w:r>
                      <w:r w:rsidR="00B256F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C40E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</w:t>
                      </w:r>
                      <w:r w:rsidR="00AF0BC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October 2023</w:t>
                      </w:r>
                      <w:r w:rsidR="00C40E7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  <w:r w:rsidR="00B256F3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B1F">
        <w:rPr>
          <w:b/>
          <w:color w:val="391B76"/>
        </w:rPr>
        <w:t>Rationale</w:t>
      </w:r>
    </w:p>
    <w:p w14:paraId="0E9E3090" w14:textId="22C4324E" w:rsidR="009A2B9A" w:rsidRPr="00F9007C" w:rsidRDefault="005E4845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DOBCEL </w:t>
      </w:r>
      <w:r w:rsidR="008360F6">
        <w:rPr>
          <w:rFonts w:ascii="Calibri" w:hAnsi="Calibri"/>
        </w:rPr>
        <w:t xml:space="preserve">is </w:t>
      </w:r>
      <w:r>
        <w:rPr>
          <w:rFonts w:ascii="Calibri" w:hAnsi="Calibri"/>
        </w:rPr>
        <w:t>committed to t</w:t>
      </w:r>
      <w:r w:rsidR="009A2B9A" w:rsidRPr="00F9007C">
        <w:rPr>
          <w:rFonts w:ascii="Calibri" w:hAnsi="Calibri"/>
        </w:rPr>
        <w:t xml:space="preserve">he safety and wellbeing of all </w:t>
      </w:r>
      <w:r>
        <w:rPr>
          <w:rFonts w:ascii="Calibri" w:hAnsi="Calibri"/>
        </w:rPr>
        <w:t xml:space="preserve">students </w:t>
      </w:r>
      <w:r w:rsidR="009A2B9A" w:rsidRPr="00F9007C">
        <w:rPr>
          <w:rFonts w:ascii="Calibri" w:hAnsi="Calibri"/>
        </w:rPr>
        <w:t xml:space="preserve">in all aspects of school life. Students who are at risk of anaphylaxis require a whole of </w:t>
      </w:r>
      <w:r w:rsidR="00F038A6">
        <w:rPr>
          <w:rFonts w:ascii="Calibri" w:hAnsi="Calibri"/>
        </w:rPr>
        <w:t xml:space="preserve">school </w:t>
      </w:r>
      <w:r w:rsidR="009A2B9A" w:rsidRPr="00F9007C">
        <w:rPr>
          <w:rFonts w:ascii="Calibri" w:hAnsi="Calibri"/>
        </w:rPr>
        <w:t>community respons</w:t>
      </w:r>
      <w:r>
        <w:rPr>
          <w:rFonts w:ascii="Calibri" w:hAnsi="Calibri"/>
        </w:rPr>
        <w:t>e</w:t>
      </w:r>
      <w:r w:rsidR="008360F6">
        <w:rPr>
          <w:rFonts w:ascii="Calibri" w:hAnsi="Calibri"/>
        </w:rPr>
        <w:t xml:space="preserve"> with </w:t>
      </w:r>
      <w:r w:rsidR="00F038A6">
        <w:rPr>
          <w:rFonts w:ascii="Calibri" w:hAnsi="Calibri"/>
        </w:rPr>
        <w:t xml:space="preserve">each member </w:t>
      </w:r>
      <w:r w:rsidR="00A350ED">
        <w:rPr>
          <w:rFonts w:ascii="Calibri" w:hAnsi="Calibri"/>
        </w:rPr>
        <w:t xml:space="preserve">committing to </w:t>
      </w:r>
      <w:r w:rsidR="008360F6">
        <w:rPr>
          <w:rFonts w:ascii="Calibri" w:hAnsi="Calibri"/>
        </w:rPr>
        <w:t xml:space="preserve">maintain </w:t>
      </w:r>
      <w:r w:rsidR="007B173D">
        <w:rPr>
          <w:rFonts w:ascii="Calibri" w:hAnsi="Calibri"/>
        </w:rPr>
        <w:t xml:space="preserve">their </w:t>
      </w:r>
      <w:r w:rsidR="009A2B9A" w:rsidRPr="00F9007C">
        <w:rPr>
          <w:rFonts w:ascii="Calibri" w:hAnsi="Calibri"/>
        </w:rPr>
        <w:t>knowledge,</w:t>
      </w:r>
      <w:r w:rsidR="008360F6">
        <w:rPr>
          <w:rFonts w:ascii="Calibri" w:hAnsi="Calibri"/>
        </w:rPr>
        <w:t xml:space="preserve"> skills and </w:t>
      </w:r>
      <w:r w:rsidR="007B173D">
        <w:rPr>
          <w:rFonts w:ascii="Calibri" w:hAnsi="Calibri"/>
        </w:rPr>
        <w:t>diligence towards</w:t>
      </w:r>
      <w:r w:rsidR="008360F6">
        <w:rPr>
          <w:rFonts w:ascii="Calibri" w:hAnsi="Calibri"/>
        </w:rPr>
        <w:t xml:space="preserve"> </w:t>
      </w:r>
      <w:r w:rsidR="009A2B9A" w:rsidRPr="00F9007C">
        <w:rPr>
          <w:rFonts w:ascii="Calibri" w:hAnsi="Calibri"/>
        </w:rPr>
        <w:t>planning.</w:t>
      </w:r>
    </w:p>
    <w:p w14:paraId="65B9C3C6" w14:textId="08F0A539" w:rsidR="00F9007C" w:rsidRPr="00F9007C" w:rsidRDefault="008360F6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DOBCEL</w:t>
      </w:r>
      <w:r w:rsidR="00F9007C" w:rsidRPr="00F9007C">
        <w:rPr>
          <w:rFonts w:cstheme="minorHAnsi"/>
          <w:color w:val="000000"/>
          <w:shd w:val="clear" w:color="auto" w:fill="FFFFFF"/>
        </w:rPr>
        <w:t xml:space="preserve"> </w:t>
      </w:r>
      <w:r w:rsidR="00D02D4B">
        <w:rPr>
          <w:rFonts w:cstheme="minorHAnsi"/>
          <w:color w:val="000000"/>
          <w:shd w:val="clear" w:color="auto" w:fill="FFFFFF"/>
        </w:rPr>
        <w:t>s</w:t>
      </w:r>
      <w:r w:rsidR="00F9007C" w:rsidRPr="00F9007C">
        <w:rPr>
          <w:rFonts w:cstheme="minorHAnsi"/>
          <w:color w:val="000000"/>
          <w:shd w:val="clear" w:color="auto" w:fill="FFFFFF"/>
        </w:rPr>
        <w:t>chool</w:t>
      </w:r>
      <w:r w:rsidR="00C40E72">
        <w:rPr>
          <w:rFonts w:cstheme="minorHAnsi"/>
          <w:color w:val="000000"/>
          <w:shd w:val="clear" w:color="auto" w:fill="FFFFFF"/>
        </w:rPr>
        <w:t>s</w:t>
      </w:r>
      <w:r w:rsidR="00F9007C" w:rsidRPr="00F9007C">
        <w:rPr>
          <w:rFonts w:cstheme="minorHAnsi"/>
          <w:color w:val="000000"/>
          <w:shd w:val="clear" w:color="auto" w:fill="FFFFFF"/>
        </w:rPr>
        <w:t xml:space="preserve"> </w:t>
      </w:r>
      <w:r w:rsidR="00C40E72">
        <w:rPr>
          <w:rFonts w:cstheme="minorHAnsi"/>
          <w:color w:val="000000"/>
          <w:shd w:val="clear" w:color="auto" w:fill="FFFFFF"/>
        </w:rPr>
        <w:t xml:space="preserve">commit </w:t>
      </w:r>
      <w:r w:rsidR="00F9007C" w:rsidRPr="00F9007C">
        <w:rPr>
          <w:rFonts w:cstheme="minorHAnsi"/>
          <w:color w:val="000000"/>
          <w:shd w:val="clear" w:color="auto" w:fill="FFFFFF"/>
        </w:rPr>
        <w:t xml:space="preserve">to provide, as far as practicable, a safe and supportive environment in which students at risk of anaphylaxis can participate equally in all aspects of </w:t>
      </w:r>
      <w:r w:rsidR="00D02D4B">
        <w:rPr>
          <w:rFonts w:cstheme="minorHAnsi"/>
          <w:color w:val="000000"/>
          <w:shd w:val="clear" w:color="auto" w:fill="FFFFFF"/>
        </w:rPr>
        <w:t>s</w:t>
      </w:r>
      <w:r w:rsidR="00F9007C" w:rsidRPr="00F9007C">
        <w:rPr>
          <w:rFonts w:cstheme="minorHAnsi"/>
          <w:color w:val="000000"/>
          <w:shd w:val="clear" w:color="auto" w:fill="FFFFFF"/>
        </w:rPr>
        <w:t xml:space="preserve">chool life. </w:t>
      </w:r>
    </w:p>
    <w:p w14:paraId="7C857E30" w14:textId="77777777" w:rsidR="00F438C6" w:rsidRPr="009A2B9A" w:rsidRDefault="00F438C6" w:rsidP="00B30F5E">
      <w:pPr>
        <w:pStyle w:val="Heading1"/>
        <w:jc w:val="both"/>
        <w:rPr>
          <w:b/>
          <w:color w:val="391B76"/>
        </w:rPr>
      </w:pPr>
      <w:r w:rsidRPr="009A2B9A">
        <w:rPr>
          <w:b/>
          <w:color w:val="391B76"/>
        </w:rPr>
        <w:t>Definition</w:t>
      </w:r>
      <w:r>
        <w:rPr>
          <w:b/>
          <w:color w:val="391B76"/>
        </w:rPr>
        <w:t>s</w:t>
      </w:r>
    </w:p>
    <w:p w14:paraId="627DD335" w14:textId="0336BFFE" w:rsidR="001F71A7" w:rsidRPr="00D82F5C" w:rsidRDefault="001F71A7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>Act: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The </w:t>
      </w:r>
      <w:r w:rsidRPr="00D82F5C">
        <w:rPr>
          <w:rFonts w:cstheme="minorHAnsi"/>
          <w:i/>
        </w:rPr>
        <w:t>Education and Training Reform Act 2006 (Vic)</w:t>
      </w:r>
      <w:r w:rsidRPr="00D82F5C">
        <w:rPr>
          <w:rFonts w:cstheme="minorHAnsi"/>
        </w:rPr>
        <w:t>.</w:t>
      </w:r>
    </w:p>
    <w:p w14:paraId="101C9144" w14:textId="35F3588D" w:rsidR="001F71A7" w:rsidRPr="00D82F5C" w:rsidRDefault="001F71A7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 xml:space="preserve">Adrenaline </w:t>
      </w:r>
      <w:proofErr w:type="spellStart"/>
      <w:r w:rsidRPr="00D82F5C">
        <w:rPr>
          <w:rFonts w:cstheme="minorHAnsi"/>
          <w:b/>
        </w:rPr>
        <w:t>autoinjector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EpiPen</w:t>
      </w:r>
      <w:proofErr w:type="spellEnd"/>
      <w:r>
        <w:rPr>
          <w:rFonts w:cstheme="minorHAnsi"/>
          <w:b/>
        </w:rPr>
        <w:t>)</w:t>
      </w:r>
      <w:r w:rsidRPr="00D82F5C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An adrenaline </w:t>
      </w:r>
      <w:proofErr w:type="spellStart"/>
      <w:r w:rsidRPr="00D82F5C">
        <w:rPr>
          <w:rFonts w:cstheme="minorHAnsi"/>
        </w:rPr>
        <w:t>autoinjector</w:t>
      </w:r>
      <w:proofErr w:type="spellEnd"/>
      <w:r w:rsidRPr="00D82F5C">
        <w:rPr>
          <w:rFonts w:cstheme="minorHAnsi"/>
        </w:rPr>
        <w:t xml:space="preserve"> device, approved for use by the Commonwealth Government Therapeutic Goods Administration</w:t>
      </w:r>
      <w:r>
        <w:rPr>
          <w:rFonts w:cstheme="minorHAnsi"/>
        </w:rPr>
        <w:t xml:space="preserve">. </w:t>
      </w:r>
      <w:r w:rsidRPr="00D82F5C">
        <w:rPr>
          <w:rFonts w:cstheme="minorHAnsi"/>
        </w:rPr>
        <w:t xml:space="preserve">These may include </w:t>
      </w:r>
      <w:proofErr w:type="spellStart"/>
      <w:r w:rsidRPr="00D82F5C">
        <w:rPr>
          <w:rFonts w:cstheme="minorHAnsi"/>
        </w:rPr>
        <w:t>EpiPen</w:t>
      </w:r>
      <w:proofErr w:type="spellEnd"/>
      <w:r w:rsidRPr="00D82F5C">
        <w:rPr>
          <w:rFonts w:cstheme="minorHAnsi"/>
        </w:rPr>
        <w:t xml:space="preserve">® or </w:t>
      </w:r>
      <w:proofErr w:type="spellStart"/>
      <w:r w:rsidRPr="00D82F5C">
        <w:rPr>
          <w:rFonts w:cstheme="minorHAnsi"/>
        </w:rPr>
        <w:t>EpiPen</w:t>
      </w:r>
      <w:proofErr w:type="spellEnd"/>
      <w:r w:rsidRPr="00D82F5C">
        <w:rPr>
          <w:rFonts w:cstheme="minorHAnsi"/>
        </w:rPr>
        <w:t>® Jr.</w:t>
      </w:r>
    </w:p>
    <w:p w14:paraId="32FD9E98" w14:textId="5398FA67" w:rsidR="001F71A7" w:rsidRPr="00D82F5C" w:rsidRDefault="001F71A7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 xml:space="preserve">Adrenaline </w:t>
      </w:r>
      <w:proofErr w:type="spellStart"/>
      <w:r w:rsidRPr="00D82F5C">
        <w:rPr>
          <w:rFonts w:cstheme="minorHAnsi"/>
          <w:b/>
        </w:rPr>
        <w:t>autoinjector</w:t>
      </w:r>
      <w:proofErr w:type="spellEnd"/>
      <w:r w:rsidRPr="00D82F5C">
        <w:rPr>
          <w:rFonts w:cstheme="minorHAnsi"/>
          <w:b/>
        </w:rPr>
        <w:t xml:space="preserve"> for general use: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A 'back up' or 'unassigned' adrenaline </w:t>
      </w:r>
      <w:proofErr w:type="spellStart"/>
      <w:r w:rsidRPr="00D82F5C">
        <w:rPr>
          <w:rFonts w:cstheme="minorHAnsi"/>
        </w:rPr>
        <w:t>autoinjector</w:t>
      </w:r>
      <w:proofErr w:type="spellEnd"/>
      <w:r w:rsidRPr="00D82F5C">
        <w:rPr>
          <w:rFonts w:cstheme="minorHAnsi"/>
        </w:rPr>
        <w:t xml:space="preserve"> purchased by a school.</w:t>
      </w:r>
    </w:p>
    <w:p w14:paraId="46B9EC3C" w14:textId="5EF8FCEB" w:rsidR="001F71A7" w:rsidRPr="007630DC" w:rsidRDefault="001F71A7" w:rsidP="00B30F5E">
      <w:pPr>
        <w:shd w:val="clear" w:color="auto" w:fill="FFFFFF"/>
        <w:tabs>
          <w:tab w:val="num" w:pos="720"/>
        </w:tabs>
        <w:spacing w:after="80" w:line="240" w:lineRule="auto"/>
        <w:jc w:val="both"/>
        <w:rPr>
          <w:rFonts w:eastAsia="Times New Roman" w:cstheme="minorHAnsi"/>
          <w:color w:val="0B0C1D"/>
          <w:lang w:eastAsia="en-AU"/>
        </w:rPr>
      </w:pPr>
      <w:r>
        <w:rPr>
          <w:rFonts w:cstheme="minorHAnsi"/>
          <w:b/>
        </w:rPr>
        <w:t xml:space="preserve">Anaphylaxis: </w:t>
      </w:r>
      <w:r w:rsidRPr="00A14DAD">
        <w:t>Anaphylaxis is a severe, rapidly progressive allergic reaction that is potentially life threatening. The most common allergens in school aged children are peanuts, eggs, tree nuts (</w:t>
      </w:r>
      <w:r w:rsidR="00B30F5E" w:rsidRPr="00A14DAD">
        <w:t>e.g.</w:t>
      </w:r>
      <w:r w:rsidRPr="00A14DAD">
        <w:t xml:space="preserve"> cashews), cow’s milk, fish and shellfish, wheat, soy, sesame, latex, certain insect stings/bites and medications</w:t>
      </w:r>
    </w:p>
    <w:p w14:paraId="24B5537B" w14:textId="723D429B" w:rsidR="001F71A7" w:rsidRPr="00D82F5C" w:rsidRDefault="001F71A7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>ASCIA: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>Australasian Society of Clinical Immunology and Allergy, the peak professional body of clinical immunology and allergy in Australia and New Zealand.</w:t>
      </w:r>
    </w:p>
    <w:p w14:paraId="5B5054FF" w14:textId="33312F58" w:rsidR="001F71A7" w:rsidRPr="00D82F5C" w:rsidRDefault="001F71A7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>ASCIA Action Plan for Anaphylaxis: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This plan is a nationally recognised action plan for anaphylaxis developed by ASCIA. These plans list the student's prescribed adrenaline </w:t>
      </w:r>
      <w:proofErr w:type="spellStart"/>
      <w:r w:rsidRPr="00D82F5C">
        <w:rPr>
          <w:rFonts w:cstheme="minorHAnsi"/>
        </w:rPr>
        <w:t>autoinjector</w:t>
      </w:r>
      <w:proofErr w:type="spellEnd"/>
      <w:r w:rsidRPr="00D82F5C">
        <w:rPr>
          <w:rFonts w:cstheme="minorHAnsi"/>
        </w:rPr>
        <w:t xml:space="preserve"> (</w:t>
      </w:r>
      <w:proofErr w:type="spellStart"/>
      <w:r w:rsidRPr="00D82F5C">
        <w:rPr>
          <w:rFonts w:cstheme="minorHAnsi"/>
        </w:rPr>
        <w:t>EpiPen</w:t>
      </w:r>
      <w:proofErr w:type="spellEnd"/>
      <w:r w:rsidRPr="00D82F5C">
        <w:rPr>
          <w:rFonts w:cstheme="minorHAnsi"/>
        </w:rPr>
        <w:t xml:space="preserve">® or </w:t>
      </w:r>
      <w:proofErr w:type="spellStart"/>
      <w:r w:rsidRPr="00D82F5C">
        <w:rPr>
          <w:rFonts w:cstheme="minorHAnsi"/>
        </w:rPr>
        <w:t>EpiPen</w:t>
      </w:r>
      <w:proofErr w:type="spellEnd"/>
      <w:r w:rsidRPr="00D82F5C">
        <w:rPr>
          <w:rFonts w:cstheme="minorHAnsi"/>
        </w:rPr>
        <w:t>® Jr) and must be completed by the student’s medical practitioner. This plan is one of the components of the student’s Individual Anaphylaxis Management Plan.</w:t>
      </w:r>
    </w:p>
    <w:p w14:paraId="31ECAD53" w14:textId="392C7F12" w:rsidR="00624637" w:rsidRPr="00D82F5C" w:rsidRDefault="005B1370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>Communication</w:t>
      </w:r>
      <w:r>
        <w:rPr>
          <w:rFonts w:cstheme="minorHAnsi"/>
          <w:b/>
        </w:rPr>
        <w:t xml:space="preserve"> P</w:t>
      </w:r>
      <w:r w:rsidRPr="00D82F5C">
        <w:rPr>
          <w:rFonts w:cstheme="minorHAnsi"/>
          <w:b/>
        </w:rPr>
        <w:t>lan: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>A plan implemented by the school which provides information to all school staff, students and parents about anaphylaxis and the school’s policy and procedures.</w:t>
      </w:r>
    </w:p>
    <w:p w14:paraId="1C08DD00" w14:textId="14C76B76" w:rsidR="005B1370" w:rsidRPr="00D82F5C" w:rsidRDefault="005B1370" w:rsidP="00B30F5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Anaphylaxis </w:t>
      </w:r>
      <w:r w:rsidRPr="00D82F5C">
        <w:rPr>
          <w:rFonts w:cstheme="minorHAnsi"/>
          <w:b/>
        </w:rPr>
        <w:t>Emergency Response Plan: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  <w:bCs/>
        </w:rPr>
        <w:t xml:space="preserve">A Plan for responding to an on-campus or off-campus anaphylactic emergency. The </w:t>
      </w:r>
      <w:r w:rsidRPr="00725957">
        <w:rPr>
          <w:rFonts w:cstheme="minorHAnsi"/>
          <w:bCs/>
          <w:i/>
          <w:iCs/>
        </w:rPr>
        <w:t>Anaphylaxis Emergency Response Plan</w:t>
      </w:r>
      <w:r w:rsidRPr="00D82F5C">
        <w:rPr>
          <w:rFonts w:cstheme="minorHAnsi"/>
          <w:bCs/>
        </w:rPr>
        <w:t xml:space="preserve"> </w:t>
      </w:r>
      <w:r>
        <w:rPr>
          <w:rFonts w:cstheme="minorHAnsi"/>
          <w:bCs/>
        </w:rPr>
        <w:t>is</w:t>
      </w:r>
      <w:r w:rsidRPr="00D82F5C">
        <w:rPr>
          <w:rFonts w:cstheme="minorHAnsi"/>
          <w:bCs/>
        </w:rPr>
        <w:t xml:space="preserve"> not limited to the </w:t>
      </w:r>
      <w:r w:rsidRPr="00D82F5C">
        <w:rPr>
          <w:rFonts w:cstheme="minorHAnsi"/>
          <w:bCs/>
          <w:i/>
          <w:iCs/>
        </w:rPr>
        <w:t>ASCIA Action Plan</w:t>
      </w:r>
      <w:r w:rsidRPr="00D82F5C">
        <w:rPr>
          <w:rFonts w:cstheme="minorHAnsi"/>
          <w:bCs/>
        </w:rPr>
        <w:t>.</w:t>
      </w:r>
      <w:r>
        <w:rPr>
          <w:rFonts w:cstheme="minorHAnsi"/>
          <w:bCs/>
        </w:rPr>
        <w:t xml:space="preserve"> See Attachment 4 in this document.</w:t>
      </w:r>
    </w:p>
    <w:p w14:paraId="1B130F83" w14:textId="4172496F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Guidelines: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  <w:i/>
        </w:rPr>
        <w:t>Anaphylaxis Guidelines – A resource for managing severe allergies in Victorian schools</w:t>
      </w:r>
      <w:r w:rsidRPr="00D82F5C">
        <w:rPr>
          <w:rFonts w:cstheme="minorHAnsi"/>
        </w:rPr>
        <w:t>, published by the Department of Education and Training from time to time.</w:t>
      </w:r>
    </w:p>
    <w:p w14:paraId="4546C525" w14:textId="587810AC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lastRenderedPageBreak/>
        <w:t>Individual Anaphylaxis Management Plan: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>An individual plan developed for each student at risk of anaphylaxis, in consultation with the student's parents/carers. This plan includes the ASCIA Action Plan and age-appropriate strategies to reduce the risk of an allergic reaction occurring.</w:t>
      </w:r>
    </w:p>
    <w:p w14:paraId="4705EAE4" w14:textId="11247F2A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Medical practitioner: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This is a registered medical practitioner within the meaning of the </w:t>
      </w:r>
      <w:r w:rsidRPr="00D82F5C">
        <w:rPr>
          <w:rFonts w:cstheme="minorHAnsi"/>
          <w:i/>
        </w:rPr>
        <w:t>Health Professions Registration Act 2005</w:t>
      </w:r>
      <w:r w:rsidRPr="00D82F5C">
        <w:rPr>
          <w:rFonts w:cstheme="minorHAnsi"/>
        </w:rPr>
        <w:t>, but excludes a person registered as a non-practising health practitioner.</w:t>
      </w:r>
    </w:p>
    <w:p w14:paraId="49110D7C" w14:textId="402F1838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Online training course: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Means the course called </w:t>
      </w:r>
      <w:r w:rsidRPr="00D82F5C">
        <w:rPr>
          <w:rFonts w:cstheme="minorHAnsi"/>
          <w:i/>
        </w:rPr>
        <w:t>ASCIA Anaphylaxis e-training for Victorian Schools</w:t>
      </w:r>
      <w:r w:rsidRPr="00D82F5C">
        <w:rPr>
          <w:rFonts w:cstheme="minorHAnsi"/>
        </w:rPr>
        <w:t xml:space="preserve"> approved by the Secretary pursuant to clause 5.5.4 of the Order.</w:t>
      </w:r>
    </w:p>
    <w:p w14:paraId="2E3F3407" w14:textId="69C0EB64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Order: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  <w:i/>
        </w:rPr>
        <w:t>Ministerial Order 706 - Anaphylaxis Management in Victorian Schools</w:t>
      </w:r>
      <w:r w:rsidRPr="00D82F5C">
        <w:rPr>
          <w:rFonts w:cstheme="minorHAnsi"/>
        </w:rPr>
        <w:t>.</w:t>
      </w:r>
    </w:p>
    <w:p w14:paraId="49BBAC30" w14:textId="29134D5F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Principal: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>Defined in s 1.1.3 of the Education and Training Reform Act as meaning a person appointed to a designated position as principal of a registered school or a person in charge of a registered school.</w:t>
      </w:r>
    </w:p>
    <w:p w14:paraId="3FC97764" w14:textId="648BFA85" w:rsidR="005B1370" w:rsidRPr="00D82F5C" w:rsidRDefault="005B1370" w:rsidP="00B30F5E">
      <w:pPr>
        <w:spacing w:after="80"/>
        <w:jc w:val="both"/>
        <w:rPr>
          <w:rFonts w:cstheme="minorHAnsi"/>
        </w:rPr>
      </w:pPr>
      <w:r w:rsidRPr="00D82F5C">
        <w:rPr>
          <w:rFonts w:cstheme="minorHAnsi"/>
          <w:b/>
        </w:rPr>
        <w:t>School anaphylaxis management policy: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This is a school-based policy that is required to be developed under s 4.3.1(6) of the Act because the school has at least one enrolled student who has been diagnosed as being at risk of anaphylaxis. </w:t>
      </w:r>
    </w:p>
    <w:p w14:paraId="2EF61BE2" w14:textId="6916A551" w:rsidR="005B1370" w:rsidRPr="00D82F5C" w:rsidRDefault="005B1370" w:rsidP="00B30F5E">
      <w:pPr>
        <w:jc w:val="both"/>
        <w:rPr>
          <w:rFonts w:cstheme="minorHAnsi"/>
        </w:rPr>
      </w:pPr>
      <w:r w:rsidRPr="00D82F5C">
        <w:rPr>
          <w:rFonts w:cstheme="minorHAnsi"/>
          <w:b/>
        </w:rPr>
        <w:t>School Anaphylaxis Supervisor: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</w:rPr>
        <w:t xml:space="preserve">A school staff member nominated by the principal to undertake appropriate training to </w:t>
      </w:r>
      <w:r w:rsidRPr="00D82F5C">
        <w:rPr>
          <w:rFonts w:cstheme="minorHAnsi"/>
          <w:lang w:val="en-US"/>
        </w:rPr>
        <w:t xml:space="preserve">be able to verify the correct use of adrenaline </w:t>
      </w:r>
      <w:proofErr w:type="spellStart"/>
      <w:r w:rsidRPr="00D82F5C">
        <w:rPr>
          <w:rFonts w:cstheme="minorHAnsi"/>
          <w:lang w:val="en-US"/>
        </w:rPr>
        <w:t>autoinjector</w:t>
      </w:r>
      <w:proofErr w:type="spellEnd"/>
      <w:r w:rsidRPr="00D82F5C">
        <w:rPr>
          <w:rFonts w:cstheme="minorHAnsi"/>
          <w:lang w:val="en-US"/>
        </w:rPr>
        <w:t xml:space="preserve"> (trainer) devices and lead the twice-yearly briefings on the school’s anaphylaxis management policy</w:t>
      </w:r>
      <w:r w:rsidRPr="00D82F5C">
        <w:rPr>
          <w:rFonts w:cstheme="minorHAnsi"/>
          <w:i/>
          <w:lang w:val="en-US"/>
        </w:rPr>
        <w:t>.</w:t>
      </w:r>
    </w:p>
    <w:p w14:paraId="32987DCD" w14:textId="24D10EEF" w:rsidR="005B1370" w:rsidRPr="00D82F5C" w:rsidRDefault="005B1370" w:rsidP="00B30F5E">
      <w:pPr>
        <w:jc w:val="both"/>
        <w:rPr>
          <w:rFonts w:cstheme="minorHAnsi"/>
          <w:bCs/>
        </w:rPr>
      </w:pPr>
      <w:r w:rsidRPr="00D82F5C">
        <w:rPr>
          <w:rFonts w:cstheme="minorHAnsi"/>
          <w:b/>
        </w:rPr>
        <w:t>School staff:</w:t>
      </w:r>
      <w:r>
        <w:rPr>
          <w:rFonts w:cstheme="minorHAnsi"/>
          <w:b/>
        </w:rPr>
        <w:t xml:space="preserve"> </w:t>
      </w:r>
      <w:r w:rsidRPr="00D82F5C">
        <w:rPr>
          <w:rFonts w:cstheme="minorHAnsi"/>
          <w:bCs/>
        </w:rPr>
        <w:t>Any person employed or engaged at a school who:</w:t>
      </w:r>
    </w:p>
    <w:p w14:paraId="1F1EED01" w14:textId="77777777" w:rsidR="005B1370" w:rsidRPr="00D82F5C" w:rsidRDefault="005B1370" w:rsidP="00B30F5E">
      <w:pPr>
        <w:pStyle w:val="ListBullet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82F5C">
        <w:rPr>
          <w:rFonts w:asciiTheme="minorHAnsi" w:hAnsiTheme="minorHAnsi" w:cstheme="minorHAnsi"/>
          <w:sz w:val="22"/>
          <w:szCs w:val="22"/>
        </w:rPr>
        <w:t>is required to be registered under Part 2.6 of the Act to undertake duties as a teacher within the meaning of that Part</w:t>
      </w:r>
    </w:p>
    <w:p w14:paraId="0076F671" w14:textId="77777777" w:rsidR="005B1370" w:rsidRPr="00D82F5C" w:rsidRDefault="005B1370" w:rsidP="00B30F5E">
      <w:pPr>
        <w:pStyle w:val="ListBullet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82F5C">
        <w:rPr>
          <w:rFonts w:asciiTheme="minorHAnsi" w:hAnsiTheme="minorHAnsi" w:cstheme="minorHAnsi"/>
          <w:sz w:val="22"/>
          <w:szCs w:val="22"/>
        </w:rPr>
        <w:t>is in an educational support role, including a teacher’s aide, in respect of a student with a medical condition that relates to allergy and the potential for anaphylactic reaction</w:t>
      </w:r>
    </w:p>
    <w:p w14:paraId="6ED8ED91" w14:textId="77777777" w:rsidR="005B1370" w:rsidRPr="00D82F5C" w:rsidRDefault="005B1370" w:rsidP="00B30F5E">
      <w:pPr>
        <w:pStyle w:val="ListBullet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82F5C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D82F5C">
        <w:rPr>
          <w:rFonts w:asciiTheme="minorHAnsi" w:hAnsiTheme="minorHAnsi" w:cstheme="minorHAnsi"/>
          <w:sz w:val="22"/>
          <w:szCs w:val="22"/>
        </w:rPr>
        <w:t xml:space="preserve"> principal determines should comply with the school’s anaphylaxis management policy.</w:t>
      </w:r>
    </w:p>
    <w:p w14:paraId="22987D5D" w14:textId="261D2C3F" w:rsidR="009A2B9A" w:rsidRPr="009A2B9A" w:rsidRDefault="009A2B9A" w:rsidP="00B30F5E">
      <w:pPr>
        <w:pStyle w:val="Heading1"/>
        <w:jc w:val="both"/>
        <w:rPr>
          <w:b/>
          <w:color w:val="391B76"/>
        </w:rPr>
      </w:pPr>
      <w:r w:rsidRPr="009A2B9A">
        <w:rPr>
          <w:b/>
          <w:color w:val="391B76"/>
        </w:rPr>
        <w:t>Policy Statement</w:t>
      </w:r>
    </w:p>
    <w:p w14:paraId="4F0E2AFB" w14:textId="661597DA" w:rsidR="009A2B9A" w:rsidRDefault="00023BB6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DOBCEL </w:t>
      </w:r>
      <w:r w:rsidR="00781672">
        <w:rPr>
          <w:rFonts w:ascii="Calibri" w:hAnsi="Calibri"/>
        </w:rPr>
        <w:t>s</w:t>
      </w:r>
      <w:r w:rsidR="009A2B9A" w:rsidRPr="009A2B9A">
        <w:rPr>
          <w:rFonts w:ascii="Calibri" w:hAnsi="Calibri"/>
        </w:rPr>
        <w:t>chool</w:t>
      </w:r>
      <w:r w:rsidR="00C716FF">
        <w:rPr>
          <w:rFonts w:ascii="Calibri" w:hAnsi="Calibri"/>
        </w:rPr>
        <w:t>s</w:t>
      </w:r>
      <w:r w:rsidR="009A2B9A" w:rsidRPr="009A2B9A">
        <w:rPr>
          <w:rFonts w:ascii="Calibri" w:hAnsi="Calibri"/>
        </w:rPr>
        <w:t xml:space="preserve"> </w:t>
      </w:r>
      <w:r>
        <w:rPr>
          <w:rFonts w:ascii="Calibri" w:hAnsi="Calibri"/>
        </w:rPr>
        <w:t>shall</w:t>
      </w:r>
      <w:r w:rsidR="009A2B9A" w:rsidRPr="009A2B9A">
        <w:rPr>
          <w:rFonts w:ascii="Calibri" w:hAnsi="Calibri"/>
        </w:rPr>
        <w:t xml:space="preserve"> comply with Ministerial Order 706 and the associated guidelines related to anaphylaxis management in schools as published and amended by the Department of Education and Training (DET</w:t>
      </w:r>
      <w:r w:rsidR="009126B2">
        <w:rPr>
          <w:rFonts w:ascii="Calibri" w:hAnsi="Calibri"/>
        </w:rPr>
        <w:t>),</w:t>
      </w:r>
      <w:r w:rsidR="009A2B9A" w:rsidRPr="009A2B9A">
        <w:rPr>
          <w:rFonts w:ascii="Calibri" w:hAnsi="Calibri"/>
        </w:rPr>
        <w:t xml:space="preserve"> Victoria from time to time. </w:t>
      </w:r>
    </w:p>
    <w:p w14:paraId="6D93C2FC" w14:textId="27E5163F" w:rsidR="00011949" w:rsidRDefault="00023BB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rFonts w:eastAsia="Calibri" w:cs="Arial"/>
          <w:b w:val="0"/>
          <w:sz w:val="22"/>
          <w:szCs w:val="22"/>
          <w:lang w:val="en-GB"/>
        </w:rPr>
        <w:t>S</w:t>
      </w:r>
      <w:r w:rsidR="00681983">
        <w:rPr>
          <w:rFonts w:eastAsia="Calibri" w:cs="Arial"/>
          <w:b w:val="0"/>
          <w:sz w:val="22"/>
          <w:szCs w:val="22"/>
          <w:lang w:val="en-GB"/>
        </w:rPr>
        <w:t xml:space="preserve">chool Principals </w:t>
      </w:r>
      <w:r>
        <w:rPr>
          <w:rFonts w:eastAsia="Calibri" w:cs="Arial"/>
          <w:b w:val="0"/>
          <w:sz w:val="22"/>
          <w:szCs w:val="22"/>
          <w:lang w:val="en-GB"/>
        </w:rPr>
        <w:t>must</w:t>
      </w:r>
      <w:r w:rsidR="00011949" w:rsidRPr="00CF184A">
        <w:rPr>
          <w:rFonts w:eastAsia="Calibri" w:cs="Arial"/>
          <w:b w:val="0"/>
          <w:sz w:val="22"/>
          <w:szCs w:val="22"/>
          <w:lang w:val="en-GB"/>
        </w:rPr>
        <w:t>:</w:t>
      </w:r>
    </w:p>
    <w:p w14:paraId="58AC3BA6" w14:textId="67AA6555" w:rsidR="00084A1E" w:rsidRPr="00084A1E" w:rsidRDefault="00084A1E" w:rsidP="00B30F5E">
      <w:pPr>
        <w:pStyle w:val="ListParagraph"/>
        <w:numPr>
          <w:ilvl w:val="0"/>
          <w:numId w:val="18"/>
        </w:numPr>
        <w:spacing w:before="80" w:after="80" w:line="240" w:lineRule="auto"/>
        <w:jc w:val="both"/>
        <w:rPr>
          <w:rFonts w:cs="Arial"/>
          <w:lang w:val="en-US"/>
        </w:rPr>
      </w:pPr>
      <w:r>
        <w:t xml:space="preserve">raise awareness about anaphylaxis and the </w:t>
      </w:r>
      <w:r w:rsidR="00D02D4B" w:rsidRPr="00E22389">
        <w:rPr>
          <w:i/>
          <w:iCs/>
        </w:rPr>
        <w:t>DOBCEL</w:t>
      </w:r>
      <w:r w:rsidRPr="00E22389">
        <w:rPr>
          <w:i/>
          <w:iCs/>
        </w:rPr>
        <w:t xml:space="preserve"> Anaphylaxis Management Policy</w:t>
      </w:r>
      <w:r>
        <w:t xml:space="preserve"> and procedures in the </w:t>
      </w:r>
      <w:r w:rsidR="001D63E3">
        <w:t>s</w:t>
      </w:r>
      <w:r>
        <w:t xml:space="preserve">chool community; </w:t>
      </w:r>
    </w:p>
    <w:p w14:paraId="6279441E" w14:textId="27EBF74F" w:rsidR="00084A1E" w:rsidRPr="00084A1E" w:rsidRDefault="00084A1E" w:rsidP="00B30F5E">
      <w:pPr>
        <w:pStyle w:val="ListParagraph"/>
        <w:numPr>
          <w:ilvl w:val="0"/>
          <w:numId w:val="18"/>
        </w:numPr>
        <w:spacing w:before="80" w:after="80" w:line="240" w:lineRule="auto"/>
        <w:jc w:val="both"/>
        <w:rPr>
          <w:rFonts w:cs="Arial"/>
          <w:lang w:val="en-US"/>
        </w:rPr>
      </w:pPr>
      <w:r>
        <w:t xml:space="preserve">engage with parents/guardians of students at risk of anaphylaxis, in assessing risks and developing </w:t>
      </w:r>
      <w:r w:rsidR="00023BB6" w:rsidRPr="00023BB6">
        <w:rPr>
          <w:i/>
          <w:iCs/>
        </w:rPr>
        <w:t>Individual Anaphylaxis Management Plans</w:t>
      </w:r>
      <w:r w:rsidR="00023BB6">
        <w:t xml:space="preserve"> and </w:t>
      </w:r>
      <w:r>
        <w:t>management strategies;</w:t>
      </w:r>
    </w:p>
    <w:p w14:paraId="6137138E" w14:textId="77777777" w:rsidR="00084A1E" w:rsidRPr="00084A1E" w:rsidRDefault="00084A1E" w:rsidP="00B30F5E">
      <w:pPr>
        <w:pStyle w:val="ListParagraph"/>
        <w:numPr>
          <w:ilvl w:val="0"/>
          <w:numId w:val="18"/>
        </w:numPr>
        <w:spacing w:before="80" w:after="80" w:line="240" w:lineRule="auto"/>
        <w:jc w:val="both"/>
        <w:rPr>
          <w:rFonts w:cs="Arial"/>
          <w:lang w:val="en-US"/>
        </w:rPr>
      </w:pPr>
      <w:r>
        <w:t xml:space="preserve">ensure that each staff member has adequate knowledge about allergies, anaphylaxis and the School’s policies and procedures about responding to an anaphylactic reaction; </w:t>
      </w:r>
    </w:p>
    <w:p w14:paraId="18F61491" w14:textId="73A449D3" w:rsidR="00011949" w:rsidRPr="00226986" w:rsidRDefault="00084A1E" w:rsidP="00B30F5E">
      <w:pPr>
        <w:pStyle w:val="ListParagraph"/>
        <w:numPr>
          <w:ilvl w:val="0"/>
          <w:numId w:val="18"/>
        </w:numPr>
        <w:spacing w:before="80" w:after="8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implement appropriate </w:t>
      </w:r>
      <w:r w:rsidR="001B69CD" w:rsidRPr="001B69CD">
        <w:rPr>
          <w:rFonts w:cs="Arial"/>
          <w:i/>
          <w:iCs/>
          <w:lang w:val="en-US"/>
        </w:rPr>
        <w:t>R</w:t>
      </w:r>
      <w:r w:rsidR="00011949" w:rsidRPr="001B69CD">
        <w:rPr>
          <w:rFonts w:cs="Arial"/>
          <w:i/>
          <w:iCs/>
          <w:lang w:val="en-US"/>
        </w:rPr>
        <w:t xml:space="preserve">isk </w:t>
      </w:r>
      <w:proofErr w:type="spellStart"/>
      <w:r w:rsidR="001B69CD" w:rsidRPr="001B69CD">
        <w:rPr>
          <w:rFonts w:cs="Arial"/>
          <w:i/>
          <w:iCs/>
          <w:lang w:val="en-US"/>
        </w:rPr>
        <w:t>M</w:t>
      </w:r>
      <w:r w:rsidR="00011949" w:rsidRPr="001B69CD">
        <w:rPr>
          <w:rFonts w:cs="Arial"/>
          <w:i/>
          <w:iCs/>
          <w:lang w:val="en-US"/>
        </w:rPr>
        <w:t>inimi</w:t>
      </w:r>
      <w:r w:rsidRPr="001B69CD">
        <w:rPr>
          <w:rFonts w:cs="Arial"/>
          <w:i/>
          <w:iCs/>
          <w:lang w:val="en-US"/>
        </w:rPr>
        <w:t>s</w:t>
      </w:r>
      <w:r w:rsidR="00011949" w:rsidRPr="001B69CD">
        <w:rPr>
          <w:rFonts w:cs="Arial"/>
          <w:i/>
          <w:iCs/>
          <w:lang w:val="en-US"/>
        </w:rPr>
        <w:t>ation</w:t>
      </w:r>
      <w:proofErr w:type="spellEnd"/>
      <w:r w:rsidR="00011949" w:rsidRPr="00226986">
        <w:rPr>
          <w:rFonts w:cs="Arial"/>
          <w:lang w:val="en-US"/>
        </w:rPr>
        <w:t xml:space="preserve"> and </w:t>
      </w:r>
      <w:r w:rsidR="001B69CD" w:rsidRPr="001B69CD">
        <w:rPr>
          <w:rFonts w:cs="Arial"/>
          <w:i/>
          <w:iCs/>
          <w:lang w:val="en-US"/>
        </w:rPr>
        <w:t>P</w:t>
      </w:r>
      <w:r w:rsidR="00011949" w:rsidRPr="001B69CD">
        <w:rPr>
          <w:rFonts w:cs="Arial"/>
          <w:i/>
          <w:iCs/>
          <w:lang w:val="en-US"/>
        </w:rPr>
        <w:t xml:space="preserve">revention </w:t>
      </w:r>
      <w:r w:rsidR="001B69CD" w:rsidRPr="001B69CD">
        <w:rPr>
          <w:rFonts w:cs="Arial"/>
          <w:i/>
          <w:iCs/>
          <w:lang w:val="en-US"/>
        </w:rPr>
        <w:t>S</w:t>
      </w:r>
      <w:r w:rsidR="00011949" w:rsidRPr="001B69CD">
        <w:rPr>
          <w:rFonts w:cs="Arial"/>
          <w:i/>
          <w:iCs/>
          <w:lang w:val="en-US"/>
        </w:rPr>
        <w:t>trategies</w:t>
      </w:r>
      <w:r>
        <w:rPr>
          <w:rFonts w:cs="Arial"/>
          <w:lang w:val="en-US"/>
        </w:rPr>
        <w:t>;</w:t>
      </w:r>
    </w:p>
    <w:p w14:paraId="337FBA52" w14:textId="0D51B2EF" w:rsidR="00011949" w:rsidRPr="00226986" w:rsidRDefault="00084A1E" w:rsidP="00B30F5E">
      <w:pPr>
        <w:pStyle w:val="ListParagraph"/>
        <w:numPr>
          <w:ilvl w:val="0"/>
          <w:numId w:val="18"/>
        </w:numPr>
        <w:spacing w:before="80" w:after="0" w:line="240" w:lineRule="auto"/>
        <w:jc w:val="both"/>
        <w:rPr>
          <w:rFonts w:eastAsia="Times New Roman" w:cs="Arial"/>
          <w:lang w:val="en-GB" w:eastAsia="en-AU"/>
        </w:rPr>
      </w:pPr>
      <w:r>
        <w:rPr>
          <w:rFonts w:cs="Arial"/>
          <w:lang w:val="en-GB"/>
        </w:rPr>
        <w:t xml:space="preserve">develop appropriate </w:t>
      </w:r>
      <w:r w:rsidR="00023BB6" w:rsidRPr="00023BB6">
        <w:rPr>
          <w:rFonts w:cs="Arial"/>
          <w:i/>
          <w:iCs/>
          <w:lang w:val="en-GB"/>
        </w:rPr>
        <w:t>School Anaphylaxis Management</w:t>
      </w:r>
      <w:r w:rsidR="00023BB6">
        <w:rPr>
          <w:rFonts w:cs="Arial"/>
          <w:lang w:val="en-GB"/>
        </w:rPr>
        <w:t xml:space="preserve"> and </w:t>
      </w:r>
      <w:r w:rsidR="00011949" w:rsidRPr="00226986">
        <w:rPr>
          <w:rFonts w:cs="Arial"/>
          <w:i/>
          <w:lang w:val="en-GB"/>
        </w:rPr>
        <w:t>Emergency</w:t>
      </w:r>
      <w:r w:rsidR="00011949" w:rsidRPr="00226986">
        <w:rPr>
          <w:rFonts w:eastAsia="Times New Roman" w:cs="Arial"/>
          <w:i/>
          <w:lang w:val="en-GB" w:eastAsia="en-AU"/>
        </w:rPr>
        <w:t xml:space="preserve"> Response Plan</w:t>
      </w:r>
      <w:r>
        <w:rPr>
          <w:rFonts w:eastAsia="Times New Roman" w:cs="Arial"/>
          <w:i/>
          <w:lang w:val="en-GB" w:eastAsia="en-AU"/>
        </w:rPr>
        <w:t>s</w:t>
      </w:r>
      <w:r>
        <w:rPr>
          <w:rFonts w:eastAsia="Times New Roman" w:cs="Arial"/>
          <w:lang w:val="en-GB" w:eastAsia="en-AU"/>
        </w:rPr>
        <w:t>;</w:t>
      </w:r>
      <w:r w:rsidR="00011949" w:rsidRPr="00226986">
        <w:rPr>
          <w:rFonts w:eastAsia="Times New Roman" w:cs="Arial"/>
          <w:lang w:val="en-GB" w:eastAsia="en-AU"/>
        </w:rPr>
        <w:t xml:space="preserve"> </w:t>
      </w:r>
    </w:p>
    <w:p w14:paraId="7D23DE4B" w14:textId="27F834D3" w:rsidR="00AA4906" w:rsidRPr="00AA4906" w:rsidRDefault="00084A1E" w:rsidP="00B30F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eastAsia="Times New Roman" w:cs="Arial"/>
          <w:lang w:val="en-GB" w:eastAsia="en-AU"/>
        </w:rPr>
        <w:t>d</w:t>
      </w:r>
      <w:r w:rsidR="00011949" w:rsidRPr="00226986">
        <w:rPr>
          <w:rFonts w:eastAsia="Times New Roman" w:cs="Arial"/>
          <w:lang w:val="en-GB" w:eastAsia="en-AU"/>
        </w:rPr>
        <w:t xml:space="preserve">evelop </w:t>
      </w:r>
      <w:r w:rsidR="008360F6">
        <w:rPr>
          <w:rFonts w:eastAsia="Times New Roman" w:cs="Arial"/>
          <w:lang w:val="en-GB" w:eastAsia="en-AU"/>
        </w:rPr>
        <w:t xml:space="preserve">appropriate </w:t>
      </w:r>
      <w:r w:rsidR="00011949" w:rsidRPr="00226986">
        <w:rPr>
          <w:rFonts w:eastAsia="Times New Roman" w:cs="Arial"/>
          <w:i/>
          <w:lang w:val="en-GB" w:eastAsia="en-AU"/>
        </w:rPr>
        <w:t>Communication Plan</w:t>
      </w:r>
      <w:r w:rsidR="00681983">
        <w:rPr>
          <w:rFonts w:eastAsia="Times New Roman" w:cs="Arial"/>
          <w:i/>
          <w:lang w:val="en-GB" w:eastAsia="en-AU"/>
        </w:rPr>
        <w:t>s</w:t>
      </w:r>
      <w:r w:rsidR="00023BB6">
        <w:rPr>
          <w:rFonts w:eastAsia="Times New Roman" w:cs="Arial"/>
          <w:i/>
          <w:lang w:val="en-GB" w:eastAsia="en-AU"/>
        </w:rPr>
        <w:t>; and</w:t>
      </w:r>
    </w:p>
    <w:p w14:paraId="00D2BB60" w14:textId="637DA7C6" w:rsidR="00023BB6" w:rsidRPr="00023BB6" w:rsidRDefault="00023BB6" w:rsidP="00B30F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</w:pPr>
      <w:proofErr w:type="gramStart"/>
      <w:r>
        <w:rPr>
          <w:rFonts w:eastAsia="Times New Roman" w:cs="Arial"/>
          <w:iCs/>
          <w:lang w:val="en-GB" w:eastAsia="en-AU"/>
        </w:rPr>
        <w:t>c</w:t>
      </w:r>
      <w:r w:rsidR="00AA4906">
        <w:rPr>
          <w:rFonts w:eastAsia="Times New Roman" w:cs="Arial"/>
          <w:iCs/>
          <w:lang w:val="en-GB" w:eastAsia="en-AU"/>
        </w:rPr>
        <w:t>omplete</w:t>
      </w:r>
      <w:proofErr w:type="gramEnd"/>
      <w:r w:rsidR="00AA4906">
        <w:rPr>
          <w:rFonts w:eastAsia="Times New Roman" w:cs="Arial"/>
          <w:iCs/>
          <w:lang w:val="en-GB" w:eastAsia="en-AU"/>
        </w:rPr>
        <w:t xml:space="preserve"> the annual </w:t>
      </w:r>
      <w:r w:rsidR="00ED5E11" w:rsidRPr="00ED5E11">
        <w:rPr>
          <w:rFonts w:eastAsia="Times New Roman" w:cs="Arial"/>
          <w:i/>
          <w:lang w:val="en-GB" w:eastAsia="en-AU"/>
        </w:rPr>
        <w:t xml:space="preserve">Anaphylaxis </w:t>
      </w:r>
      <w:r w:rsidR="005F3892" w:rsidRPr="00337613">
        <w:rPr>
          <w:rFonts w:eastAsia="Times New Roman" w:cs="Arial"/>
          <w:i/>
          <w:lang w:val="en-GB" w:eastAsia="en-AU"/>
        </w:rPr>
        <w:t xml:space="preserve">Risk </w:t>
      </w:r>
      <w:r w:rsidR="00AA4906" w:rsidRPr="00337613">
        <w:rPr>
          <w:rFonts w:eastAsia="Times New Roman" w:cs="Arial"/>
          <w:i/>
          <w:lang w:val="en-GB" w:eastAsia="en-AU"/>
        </w:rPr>
        <w:t>Management</w:t>
      </w:r>
      <w:r w:rsidR="005F3892" w:rsidRPr="00337613">
        <w:rPr>
          <w:rFonts w:eastAsia="Times New Roman" w:cs="Arial"/>
          <w:i/>
          <w:lang w:val="en-GB" w:eastAsia="en-AU"/>
        </w:rPr>
        <w:t xml:space="preserve"> Checklist</w:t>
      </w:r>
      <w:r>
        <w:rPr>
          <w:rFonts w:eastAsia="Times New Roman" w:cs="Arial"/>
          <w:i/>
          <w:lang w:val="en-GB" w:eastAsia="en-AU"/>
        </w:rPr>
        <w:t xml:space="preserve">. </w:t>
      </w:r>
      <w:r w:rsidR="00AA4906">
        <w:rPr>
          <w:rFonts w:eastAsia="Times New Roman" w:cs="Arial"/>
          <w:iCs/>
          <w:lang w:val="en-GB" w:eastAsia="en-AU"/>
        </w:rPr>
        <w:t xml:space="preserve"> </w:t>
      </w:r>
    </w:p>
    <w:p w14:paraId="7E23EEE3" w14:textId="20E7BB3E" w:rsidR="00681983" w:rsidRDefault="00681983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834E45">
        <w:rPr>
          <w:b/>
        </w:rPr>
        <w:t>Parent/</w:t>
      </w:r>
      <w:r w:rsidR="00775D24">
        <w:rPr>
          <w:b/>
        </w:rPr>
        <w:t>Caregiver</w:t>
      </w:r>
      <w:r w:rsidR="00775D24" w:rsidRPr="00834E45">
        <w:rPr>
          <w:b/>
        </w:rPr>
        <w:t xml:space="preserve"> </w:t>
      </w:r>
      <w:r w:rsidRPr="00834E45">
        <w:rPr>
          <w:b/>
        </w:rPr>
        <w:t>Responsibility</w:t>
      </w:r>
      <w:r>
        <w:t xml:space="preserve"> </w:t>
      </w:r>
    </w:p>
    <w:p w14:paraId="43907439" w14:textId="34127B78" w:rsidR="00681983" w:rsidRDefault="00681983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t>It is the responsibility of the parent/</w:t>
      </w:r>
      <w:r w:rsidR="00775D24">
        <w:t xml:space="preserve">caregiver </w:t>
      </w:r>
      <w:r>
        <w:t xml:space="preserve">to: </w:t>
      </w:r>
    </w:p>
    <w:p w14:paraId="17C78EFE" w14:textId="0EFE6D09" w:rsidR="003835AB" w:rsidRDefault="00650E3A" w:rsidP="00B30F5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inform the </w:t>
      </w:r>
      <w:r w:rsidR="00D02D4B">
        <w:t>s</w:t>
      </w:r>
      <w:r>
        <w:t>chool in writing of their child’s medical condition, in so far as it relates to allergy and the potential for anaphylactic reaction</w:t>
      </w:r>
    </w:p>
    <w:p w14:paraId="5DC56968" w14:textId="77777777" w:rsidR="00681983" w:rsidRDefault="003835AB" w:rsidP="00B30F5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</w:pPr>
      <w:r>
        <w:t>P</w:t>
      </w:r>
      <w:r w:rsidR="00650E3A">
        <w:t>rovide a</w:t>
      </w:r>
      <w:r w:rsidR="0026239C">
        <w:t>n</w:t>
      </w:r>
      <w:r w:rsidR="00650E3A">
        <w:t xml:space="preserve"> ASCIA Action Plan</w:t>
      </w:r>
      <w:r>
        <w:t xml:space="preserve"> </w:t>
      </w:r>
      <w:r w:rsidR="00681983">
        <w:t xml:space="preserve">signed by the students treating doctor; </w:t>
      </w:r>
    </w:p>
    <w:p w14:paraId="7969B164" w14:textId="51A9AF1C" w:rsidR="00681983" w:rsidRDefault="00681983" w:rsidP="00B30F5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</w:pPr>
      <w:proofErr w:type="gramStart"/>
      <w:r>
        <w:t>provide</w:t>
      </w:r>
      <w:proofErr w:type="gramEnd"/>
      <w:r>
        <w:t xml:space="preserve"> the </w:t>
      </w:r>
      <w:r w:rsidR="00D02D4B">
        <w:t>s</w:t>
      </w:r>
      <w:r>
        <w:t xml:space="preserve">chool with </w:t>
      </w:r>
      <w:r w:rsidR="003835AB">
        <w:t xml:space="preserve">(1) </w:t>
      </w:r>
      <w:r>
        <w:t xml:space="preserve">one adrenaline </w:t>
      </w:r>
      <w:proofErr w:type="spellStart"/>
      <w:r>
        <w:t>EpiPen</w:t>
      </w:r>
      <w:proofErr w:type="spellEnd"/>
      <w:r>
        <w:t xml:space="preserve"> </w:t>
      </w:r>
      <w:r w:rsidR="00657638">
        <w:t xml:space="preserve">and replacements upon expiration. </w:t>
      </w:r>
      <w:r>
        <w:t xml:space="preserve"> </w:t>
      </w:r>
    </w:p>
    <w:p w14:paraId="66C737C5" w14:textId="44178508" w:rsidR="00681983" w:rsidRDefault="00681983" w:rsidP="00B30F5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>
        <w:t xml:space="preserve">In addition, it is the responsibility of parents and </w:t>
      </w:r>
      <w:r w:rsidR="00775D24">
        <w:t xml:space="preserve">caregivers </w:t>
      </w:r>
      <w:r>
        <w:t xml:space="preserve">to ensure their child has an adrenaline </w:t>
      </w:r>
      <w:proofErr w:type="spellStart"/>
      <w:r>
        <w:t>EpiPen</w:t>
      </w:r>
      <w:proofErr w:type="spellEnd"/>
      <w:r>
        <w:t xml:space="preserve"> </w:t>
      </w:r>
      <w:r w:rsidR="008360F6">
        <w:t xml:space="preserve">that has not </w:t>
      </w:r>
      <w:r>
        <w:t xml:space="preserve">expired in their possession at all times when engaged in </w:t>
      </w:r>
      <w:r w:rsidR="00D02D4B">
        <w:t>s</w:t>
      </w:r>
      <w:r>
        <w:t>chool-sanctioned activities.</w:t>
      </w:r>
    </w:p>
    <w:p w14:paraId="4B0FBCAE" w14:textId="42192BAE" w:rsidR="00114BBD" w:rsidRPr="00CB2C75" w:rsidRDefault="00AB5A61" w:rsidP="00B30F5E">
      <w:pPr>
        <w:pStyle w:val="ListNumber"/>
        <w:keepNext w:val="0"/>
        <w:widowControl w:val="0"/>
        <w:numPr>
          <w:ilvl w:val="0"/>
          <w:numId w:val="0"/>
        </w:numPr>
        <w:spacing w:after="120" w:line="240" w:lineRule="auto"/>
        <w:jc w:val="both"/>
        <w:rPr>
          <w:rFonts w:eastAsia="Calibri" w:cs="Arial"/>
          <w:bCs w:val="0"/>
          <w:sz w:val="22"/>
          <w:szCs w:val="22"/>
          <w:lang w:val="en-GB" w:eastAsia="en-AU"/>
        </w:rPr>
      </w:pPr>
      <w:r w:rsidRPr="00CB2C75">
        <w:rPr>
          <w:rFonts w:eastAsia="Calibri" w:cs="Arial"/>
          <w:bCs w:val="0"/>
          <w:sz w:val="22"/>
          <w:szCs w:val="22"/>
          <w:lang w:val="en-GB" w:eastAsia="en-AU"/>
        </w:rPr>
        <w:t>School Management of</w:t>
      </w:r>
      <w:r w:rsidR="00CB2C75" w:rsidRPr="00CB2C75">
        <w:rPr>
          <w:rFonts w:eastAsia="Calibri" w:cs="Arial"/>
          <w:bCs w:val="0"/>
          <w:sz w:val="22"/>
          <w:szCs w:val="22"/>
          <w:lang w:val="en-GB" w:eastAsia="en-AU"/>
        </w:rPr>
        <w:t xml:space="preserve"> Anaphylaxis</w:t>
      </w:r>
    </w:p>
    <w:p w14:paraId="4830DBA7" w14:textId="555766F6" w:rsidR="00FE2D12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contextualSpacing/>
        <w:jc w:val="both"/>
        <w:rPr>
          <w:rFonts w:eastAsia="Calibri" w:cs="Arial"/>
          <w:b w:val="0"/>
          <w:sz w:val="22"/>
          <w:szCs w:val="22"/>
          <w:lang w:val="en-GB" w:eastAsia="en-AU"/>
        </w:rPr>
      </w:pPr>
      <w:r>
        <w:rPr>
          <w:rFonts w:eastAsia="Calibri" w:cs="Arial"/>
          <w:b w:val="0"/>
          <w:sz w:val="22"/>
          <w:szCs w:val="22"/>
          <w:lang w:val="en-GB" w:eastAsia="en-AU"/>
        </w:rPr>
        <w:t>DOBCEL</w:t>
      </w:r>
      <w:r w:rsidRPr="00CF184A">
        <w:rPr>
          <w:rFonts w:eastAsia="Calibri" w:cs="Arial"/>
          <w:b w:val="0"/>
          <w:sz w:val="22"/>
          <w:szCs w:val="22"/>
          <w:lang w:val="en-GB" w:eastAsia="en-AU"/>
        </w:rPr>
        <w:t xml:space="preserve"> acknowledges that the management of a student at risk of anaphylaxis is a partnership between </w:t>
      </w:r>
      <w:r>
        <w:rPr>
          <w:rFonts w:eastAsia="Calibri" w:cs="Arial"/>
          <w:b w:val="0"/>
          <w:sz w:val="22"/>
          <w:szCs w:val="22"/>
          <w:lang w:val="en-GB" w:eastAsia="en-AU"/>
        </w:rPr>
        <w:t>the</w:t>
      </w:r>
      <w:r w:rsidRPr="00CF184A">
        <w:rPr>
          <w:rFonts w:eastAsia="Calibri" w:cs="Arial"/>
          <w:b w:val="0"/>
          <w:sz w:val="22"/>
          <w:szCs w:val="22"/>
          <w:lang w:val="en-GB" w:eastAsia="en-AU"/>
        </w:rPr>
        <w:t xml:space="preserve"> </w:t>
      </w:r>
      <w:r>
        <w:rPr>
          <w:rFonts w:eastAsia="Calibri" w:cs="Arial"/>
          <w:b w:val="0"/>
          <w:sz w:val="22"/>
          <w:szCs w:val="22"/>
          <w:lang w:val="en-GB" w:eastAsia="en-AU"/>
        </w:rPr>
        <w:t>schoo</w:t>
      </w:r>
      <w:r w:rsidRPr="00CF184A">
        <w:rPr>
          <w:rFonts w:eastAsia="Calibri" w:cs="Arial"/>
          <w:b w:val="0"/>
          <w:sz w:val="22"/>
          <w:szCs w:val="22"/>
          <w:lang w:val="en-GB" w:eastAsia="en-AU"/>
        </w:rPr>
        <w:t xml:space="preserve">l, the staff, the student, the student’s parents, </w:t>
      </w:r>
      <w:r w:rsidR="005B0266">
        <w:rPr>
          <w:rFonts w:eastAsia="Calibri" w:cs="Arial"/>
          <w:b w:val="0"/>
          <w:sz w:val="22"/>
          <w:szCs w:val="22"/>
          <w:lang w:val="en-GB" w:eastAsia="en-AU"/>
        </w:rPr>
        <w:t>caregivers</w:t>
      </w:r>
      <w:r w:rsidR="005B0266" w:rsidRPr="00CF184A">
        <w:rPr>
          <w:rFonts w:eastAsia="Calibri" w:cs="Arial"/>
          <w:b w:val="0"/>
          <w:sz w:val="22"/>
          <w:szCs w:val="22"/>
          <w:lang w:val="en-GB" w:eastAsia="en-AU"/>
        </w:rPr>
        <w:t xml:space="preserve"> </w:t>
      </w:r>
      <w:r w:rsidRPr="00CF184A">
        <w:rPr>
          <w:rFonts w:eastAsia="Calibri" w:cs="Arial"/>
          <w:b w:val="0"/>
          <w:sz w:val="22"/>
          <w:szCs w:val="22"/>
          <w:lang w:val="en-GB" w:eastAsia="en-AU"/>
        </w:rPr>
        <w:t>and the student’s medical practitioner</w:t>
      </w:r>
      <w:r>
        <w:rPr>
          <w:rFonts w:eastAsia="Calibri" w:cs="Arial"/>
          <w:b w:val="0"/>
          <w:sz w:val="22"/>
          <w:szCs w:val="22"/>
          <w:lang w:val="en-GB" w:eastAsia="en-AU"/>
        </w:rPr>
        <w:t xml:space="preserve">. </w:t>
      </w:r>
    </w:p>
    <w:p w14:paraId="3AD4AF6B" w14:textId="77777777" w:rsidR="00FE2D12" w:rsidRDefault="00FE2D12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contextualSpacing/>
        <w:jc w:val="both"/>
        <w:rPr>
          <w:rFonts w:eastAsia="Calibri" w:cs="Arial"/>
          <w:b w:val="0"/>
          <w:sz w:val="22"/>
          <w:szCs w:val="22"/>
          <w:lang w:val="en-GB" w:eastAsia="en-AU"/>
        </w:rPr>
      </w:pPr>
    </w:p>
    <w:p w14:paraId="432920CB" w14:textId="1515CA28" w:rsidR="00C47866" w:rsidRPr="00DA496A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E2D12">
        <w:rPr>
          <w:rFonts w:eastAsia="Calibri" w:cs="Arial"/>
          <w:b w:val="0"/>
          <w:sz w:val="22"/>
          <w:szCs w:val="22"/>
          <w:lang w:val="en-GB" w:eastAsia="en-AU"/>
        </w:rPr>
        <w:t>Individual Anaphylaxis Management Plans</w:t>
      </w:r>
      <w:r>
        <w:rPr>
          <w:rFonts w:eastAsia="Calibri" w:cs="Arial"/>
          <w:b w:val="0"/>
          <w:sz w:val="22"/>
          <w:szCs w:val="22"/>
          <w:lang w:val="en-GB" w:eastAsia="en-AU"/>
        </w:rPr>
        <w:t xml:space="preserve"> will be </w:t>
      </w:r>
      <w:r w:rsidR="00C57562">
        <w:rPr>
          <w:rFonts w:eastAsia="Calibri" w:cs="Arial"/>
          <w:b w:val="0"/>
          <w:sz w:val="22"/>
          <w:szCs w:val="22"/>
          <w:lang w:val="en-GB" w:eastAsia="en-AU"/>
        </w:rPr>
        <w:t xml:space="preserve">prepared </w:t>
      </w:r>
      <w:r w:rsidR="00A13998">
        <w:rPr>
          <w:rFonts w:eastAsia="Calibri" w:cs="Arial"/>
          <w:b w:val="0"/>
          <w:sz w:val="22"/>
          <w:szCs w:val="22"/>
          <w:lang w:val="en-GB" w:eastAsia="en-AU"/>
        </w:rPr>
        <w:t xml:space="preserve">by </w:t>
      </w:r>
      <w:r w:rsidR="00AA7267">
        <w:rPr>
          <w:rFonts w:eastAsia="Calibri" w:cs="Arial"/>
          <w:b w:val="0"/>
          <w:sz w:val="22"/>
          <w:szCs w:val="22"/>
          <w:lang w:val="en-GB" w:eastAsia="en-AU"/>
        </w:rPr>
        <w:t>each</w:t>
      </w:r>
      <w:r w:rsidR="00A13998">
        <w:rPr>
          <w:rFonts w:eastAsia="Calibri" w:cs="Arial"/>
          <w:b w:val="0"/>
          <w:sz w:val="22"/>
          <w:szCs w:val="22"/>
          <w:lang w:val="en-GB" w:eastAsia="en-AU"/>
        </w:rPr>
        <w:t xml:space="preserve"> school </w:t>
      </w:r>
      <w:r>
        <w:rPr>
          <w:rFonts w:eastAsia="Calibri" w:cs="Arial"/>
          <w:b w:val="0"/>
          <w:sz w:val="22"/>
          <w:szCs w:val="22"/>
          <w:lang w:val="en-GB" w:eastAsia="en-AU"/>
        </w:rPr>
        <w:t xml:space="preserve">using the template in the DOBCEL </w:t>
      </w:r>
      <w:r w:rsidRPr="00185FE3">
        <w:rPr>
          <w:rFonts w:eastAsia="Calibri" w:cs="Arial"/>
          <w:b w:val="0"/>
          <w:i/>
          <w:iCs/>
          <w:sz w:val="22"/>
          <w:szCs w:val="22"/>
          <w:lang w:val="en-GB" w:eastAsia="en-AU"/>
        </w:rPr>
        <w:t>Anaphylaxis Management Procedure</w:t>
      </w:r>
      <w:r>
        <w:rPr>
          <w:rFonts w:eastAsia="Calibri" w:cs="Arial"/>
          <w:b w:val="0"/>
          <w:sz w:val="22"/>
          <w:szCs w:val="22"/>
          <w:lang w:val="en-GB" w:eastAsia="en-AU"/>
        </w:rPr>
        <w:t>.</w:t>
      </w:r>
      <w:r w:rsidR="000C0E2C">
        <w:rPr>
          <w:rFonts w:eastAsia="Calibri" w:cs="Arial"/>
          <w:b w:val="0"/>
          <w:sz w:val="22"/>
          <w:szCs w:val="22"/>
          <w:lang w:val="en-GB" w:eastAsia="en-AU"/>
        </w:rPr>
        <w:t xml:space="preserve"> The </w:t>
      </w:r>
      <w:r w:rsidR="007D6804">
        <w:rPr>
          <w:rFonts w:eastAsia="Calibri" w:cs="Arial"/>
          <w:b w:val="0"/>
          <w:sz w:val="22"/>
          <w:szCs w:val="22"/>
          <w:lang w:val="en-GB" w:eastAsia="en-AU"/>
        </w:rPr>
        <w:t xml:space="preserve">Plans will be developed in </w:t>
      </w:r>
      <w:r w:rsidR="000C0E2C">
        <w:rPr>
          <w:rFonts w:eastAsia="Calibri" w:cs="Arial"/>
          <w:b w:val="0"/>
          <w:sz w:val="22"/>
          <w:szCs w:val="22"/>
          <w:lang w:val="en-GB" w:eastAsia="en-AU"/>
        </w:rPr>
        <w:t>consultation with the abovementioned for each student at risk</w:t>
      </w:r>
      <w:r w:rsidR="007B54BE">
        <w:rPr>
          <w:rFonts w:eastAsia="Calibri" w:cs="Arial"/>
          <w:b w:val="0"/>
          <w:sz w:val="22"/>
          <w:szCs w:val="22"/>
          <w:lang w:val="en-GB" w:eastAsia="en-AU"/>
        </w:rPr>
        <w:t>.</w:t>
      </w:r>
    </w:p>
    <w:p w14:paraId="1BDBECC8" w14:textId="77777777" w:rsidR="00C4786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491"/>
        <w:contextualSpacing/>
        <w:jc w:val="both"/>
        <w:rPr>
          <w:b w:val="0"/>
          <w:sz w:val="22"/>
          <w:szCs w:val="22"/>
        </w:rPr>
      </w:pPr>
    </w:p>
    <w:p w14:paraId="5F1770BF" w14:textId="77777777" w:rsidR="00C4786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66"/>
        <w:contextualSpacing/>
        <w:jc w:val="both"/>
        <w:rPr>
          <w:b w:val="0"/>
          <w:sz w:val="22"/>
          <w:szCs w:val="22"/>
        </w:rPr>
      </w:pPr>
      <w:r w:rsidRPr="006C0657">
        <w:rPr>
          <w:b w:val="0"/>
          <w:sz w:val="22"/>
          <w:szCs w:val="22"/>
        </w:rPr>
        <w:t xml:space="preserve">Risk </w:t>
      </w:r>
      <w:proofErr w:type="spellStart"/>
      <w:r w:rsidRPr="006C0657">
        <w:rPr>
          <w:b w:val="0"/>
          <w:sz w:val="22"/>
          <w:szCs w:val="22"/>
        </w:rPr>
        <w:t>minimisation</w:t>
      </w:r>
      <w:proofErr w:type="spellEnd"/>
      <w:r w:rsidRPr="006C0657">
        <w:rPr>
          <w:b w:val="0"/>
          <w:sz w:val="22"/>
          <w:szCs w:val="22"/>
        </w:rPr>
        <w:t xml:space="preserve"> and prevention strategies detailed in the </w:t>
      </w:r>
      <w:r>
        <w:rPr>
          <w:b w:val="0"/>
          <w:sz w:val="22"/>
          <w:szCs w:val="22"/>
        </w:rPr>
        <w:t xml:space="preserve">DOBCEL </w:t>
      </w:r>
      <w:r w:rsidRPr="008E587F">
        <w:rPr>
          <w:b w:val="0"/>
          <w:i/>
          <w:sz w:val="22"/>
          <w:szCs w:val="22"/>
        </w:rPr>
        <w:t>Anaphylaxis Management Procedure</w:t>
      </w:r>
      <w:r w:rsidRPr="006C0657">
        <w:rPr>
          <w:b w:val="0"/>
          <w:sz w:val="22"/>
          <w:szCs w:val="22"/>
        </w:rPr>
        <w:t xml:space="preserve">, shall be implemented wherever possible, to </w:t>
      </w:r>
      <w:proofErr w:type="spellStart"/>
      <w:r w:rsidRPr="006C0657">
        <w:rPr>
          <w:b w:val="0"/>
          <w:sz w:val="22"/>
          <w:szCs w:val="22"/>
        </w:rPr>
        <w:t>minimise</w:t>
      </w:r>
      <w:proofErr w:type="spellEnd"/>
      <w:r w:rsidRPr="006C0657">
        <w:rPr>
          <w:b w:val="0"/>
          <w:sz w:val="22"/>
          <w:szCs w:val="22"/>
        </w:rPr>
        <w:t xml:space="preserve"> the risk of exposure to allergens.</w:t>
      </w:r>
    </w:p>
    <w:p w14:paraId="214D4327" w14:textId="77777777" w:rsidR="00C47866" w:rsidRDefault="00C47866" w:rsidP="00B30F5E">
      <w:pPr>
        <w:pStyle w:val="ListParagraph"/>
        <w:spacing w:after="0"/>
        <w:ind w:left="66"/>
        <w:jc w:val="both"/>
        <w:rPr>
          <w:b/>
        </w:rPr>
      </w:pPr>
    </w:p>
    <w:p w14:paraId="2C15FAFF" w14:textId="77777777" w:rsidR="00C4786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66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</w:t>
      </w:r>
      <w:r w:rsidRPr="006C0657">
        <w:rPr>
          <w:b w:val="0"/>
          <w:sz w:val="22"/>
          <w:szCs w:val="22"/>
        </w:rPr>
        <w:t xml:space="preserve"> Communication Plan </w:t>
      </w:r>
      <w:r>
        <w:rPr>
          <w:b w:val="0"/>
          <w:sz w:val="22"/>
          <w:szCs w:val="22"/>
        </w:rPr>
        <w:t xml:space="preserve">detailed in </w:t>
      </w:r>
      <w:r w:rsidRPr="006C0657">
        <w:rPr>
          <w:b w:val="0"/>
          <w:sz w:val="22"/>
          <w:szCs w:val="22"/>
        </w:rPr>
        <w:t xml:space="preserve">the </w:t>
      </w:r>
      <w:r>
        <w:rPr>
          <w:b w:val="0"/>
          <w:sz w:val="22"/>
          <w:szCs w:val="22"/>
        </w:rPr>
        <w:t xml:space="preserve">DOBCEL </w:t>
      </w:r>
      <w:r w:rsidRPr="008E587F">
        <w:rPr>
          <w:b w:val="0"/>
          <w:i/>
          <w:sz w:val="22"/>
          <w:szCs w:val="22"/>
        </w:rPr>
        <w:t>Anaphylaxis Management Procedure</w:t>
      </w:r>
      <w:r w:rsidRPr="006C0657">
        <w:rPr>
          <w:b w:val="0"/>
          <w:sz w:val="22"/>
          <w:szCs w:val="22"/>
        </w:rPr>
        <w:t xml:space="preserve"> shall be implemented to raise awareness of students at risk</w:t>
      </w:r>
      <w:r>
        <w:rPr>
          <w:b w:val="0"/>
          <w:sz w:val="22"/>
          <w:szCs w:val="22"/>
        </w:rPr>
        <w:t xml:space="preserve">, </w:t>
      </w:r>
      <w:r w:rsidRPr="006C0657">
        <w:rPr>
          <w:b w:val="0"/>
          <w:sz w:val="22"/>
          <w:szCs w:val="22"/>
        </w:rPr>
        <w:t xml:space="preserve">risk </w:t>
      </w:r>
      <w:proofErr w:type="spellStart"/>
      <w:r w:rsidRPr="006C0657">
        <w:rPr>
          <w:b w:val="0"/>
          <w:sz w:val="22"/>
          <w:szCs w:val="22"/>
        </w:rPr>
        <w:t>minimisation</w:t>
      </w:r>
      <w:proofErr w:type="spellEnd"/>
      <w:r w:rsidRPr="006C0657">
        <w:rPr>
          <w:b w:val="0"/>
          <w:sz w:val="22"/>
          <w:szCs w:val="22"/>
        </w:rPr>
        <w:t xml:space="preserve"> strategies and how to respond in an emergency.</w:t>
      </w:r>
    </w:p>
    <w:p w14:paraId="624ADB95" w14:textId="77777777" w:rsidR="00C47866" w:rsidRDefault="00C47866" w:rsidP="00B30F5E">
      <w:pPr>
        <w:pStyle w:val="ListParagraph"/>
        <w:spacing w:after="0"/>
        <w:ind w:left="66"/>
        <w:jc w:val="both"/>
        <w:rPr>
          <w:b/>
        </w:rPr>
      </w:pPr>
    </w:p>
    <w:p w14:paraId="6CD6BFE3" w14:textId="77777777" w:rsidR="00C47866" w:rsidRPr="00023BB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66"/>
        <w:contextualSpacing/>
        <w:jc w:val="both"/>
        <w:rPr>
          <w:b w:val="0"/>
          <w:bCs w:val="0"/>
        </w:rPr>
      </w:pPr>
      <w:r>
        <w:rPr>
          <w:b w:val="0"/>
          <w:sz w:val="22"/>
          <w:szCs w:val="22"/>
        </w:rPr>
        <w:t xml:space="preserve">The </w:t>
      </w:r>
      <w:r w:rsidRPr="00023BB6">
        <w:rPr>
          <w:b w:val="0"/>
          <w:bCs w:val="0"/>
          <w:sz w:val="22"/>
          <w:szCs w:val="22"/>
        </w:rPr>
        <w:t xml:space="preserve">school’s Anaphylaxis Management and Emergency Response Plan shall be implemented by each school as part of the risk minimization strategies. They are detailed in the DOBCEL </w:t>
      </w:r>
      <w:r w:rsidRPr="00023BB6">
        <w:rPr>
          <w:b w:val="0"/>
          <w:bCs w:val="0"/>
          <w:i/>
          <w:iCs/>
          <w:sz w:val="22"/>
          <w:szCs w:val="22"/>
        </w:rPr>
        <w:t>Anaphylaxis Management Procedure.</w:t>
      </w:r>
      <w:r w:rsidRPr="00023BB6">
        <w:rPr>
          <w:b w:val="0"/>
          <w:bCs w:val="0"/>
          <w:sz w:val="22"/>
          <w:szCs w:val="22"/>
        </w:rPr>
        <w:t xml:space="preserve"> </w:t>
      </w:r>
    </w:p>
    <w:p w14:paraId="058C62BA" w14:textId="77777777" w:rsidR="00C47866" w:rsidRDefault="00C47866" w:rsidP="00B30F5E">
      <w:pPr>
        <w:pStyle w:val="ListParagraph"/>
        <w:spacing w:after="0"/>
        <w:ind w:left="360"/>
        <w:jc w:val="both"/>
      </w:pPr>
    </w:p>
    <w:p w14:paraId="75B42567" w14:textId="7FF90B63" w:rsidR="00C4786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66"/>
        <w:contextualSpacing/>
        <w:jc w:val="both"/>
        <w:rPr>
          <w:b w:val="0"/>
          <w:sz w:val="22"/>
          <w:szCs w:val="22"/>
        </w:rPr>
      </w:pPr>
      <w:r w:rsidRPr="004A677A">
        <w:rPr>
          <w:b w:val="0"/>
          <w:bCs w:val="0"/>
          <w:sz w:val="22"/>
          <w:szCs w:val="22"/>
        </w:rPr>
        <w:t>T</w:t>
      </w:r>
      <w:r w:rsidRPr="00CE17AE">
        <w:rPr>
          <w:b w:val="0"/>
          <w:sz w:val="22"/>
          <w:szCs w:val="22"/>
        </w:rPr>
        <w:t xml:space="preserve">he </w:t>
      </w:r>
      <w:r w:rsidRPr="004A677A">
        <w:rPr>
          <w:b w:val="0"/>
          <w:sz w:val="22"/>
          <w:szCs w:val="22"/>
        </w:rPr>
        <w:t>Annual Risk Management Checklist</w:t>
      </w:r>
      <w:r w:rsidRPr="00CE17A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detailed in the DOBCEL </w:t>
      </w:r>
      <w:r w:rsidRPr="00C0725B">
        <w:rPr>
          <w:b w:val="0"/>
          <w:i/>
          <w:iCs/>
          <w:sz w:val="22"/>
          <w:szCs w:val="22"/>
        </w:rPr>
        <w:t>Anaphylaxis Management Procedure</w:t>
      </w:r>
      <w:r>
        <w:rPr>
          <w:b w:val="0"/>
          <w:sz w:val="22"/>
          <w:szCs w:val="22"/>
        </w:rPr>
        <w:t xml:space="preserve"> </w:t>
      </w:r>
      <w:r w:rsidR="009126B2">
        <w:rPr>
          <w:b w:val="0"/>
          <w:sz w:val="22"/>
          <w:szCs w:val="22"/>
        </w:rPr>
        <w:t xml:space="preserve">must </w:t>
      </w:r>
      <w:r>
        <w:rPr>
          <w:b w:val="0"/>
          <w:sz w:val="22"/>
          <w:szCs w:val="22"/>
        </w:rPr>
        <w:t>be completed by the school Principal (or nominee) to determine staff training and medical supply requirements. The checklist must be u</w:t>
      </w:r>
      <w:r w:rsidRPr="00CE17AE">
        <w:rPr>
          <w:b w:val="0"/>
          <w:sz w:val="22"/>
          <w:szCs w:val="22"/>
        </w:rPr>
        <w:t>pload</w:t>
      </w:r>
      <w:r>
        <w:rPr>
          <w:b w:val="0"/>
          <w:sz w:val="22"/>
          <w:szCs w:val="22"/>
        </w:rPr>
        <w:t>ed</w:t>
      </w:r>
      <w:r w:rsidRPr="00CE17AE">
        <w:rPr>
          <w:b w:val="0"/>
          <w:sz w:val="22"/>
          <w:szCs w:val="22"/>
        </w:rPr>
        <w:t xml:space="preserve"> into</w:t>
      </w:r>
      <w:r>
        <w:rPr>
          <w:b w:val="0"/>
          <w:sz w:val="22"/>
          <w:szCs w:val="22"/>
        </w:rPr>
        <w:t xml:space="preserve"> the</w:t>
      </w:r>
      <w:r w:rsidRPr="00CE17A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school’s </w:t>
      </w:r>
      <w:r w:rsidRPr="00CE17AE">
        <w:rPr>
          <w:b w:val="0"/>
          <w:sz w:val="22"/>
          <w:szCs w:val="22"/>
        </w:rPr>
        <w:t xml:space="preserve">Anaphylaxis Risk Register.    </w:t>
      </w:r>
    </w:p>
    <w:p w14:paraId="1B0BC43A" w14:textId="77777777" w:rsidR="00C47866" w:rsidRDefault="00C47866" w:rsidP="00B30F5E">
      <w:pPr>
        <w:pStyle w:val="ListParagraph"/>
        <w:spacing w:after="0"/>
        <w:ind w:left="360"/>
        <w:jc w:val="both"/>
        <w:rPr>
          <w:b/>
        </w:rPr>
      </w:pPr>
    </w:p>
    <w:p w14:paraId="2D739673" w14:textId="1036D146" w:rsidR="00C47866" w:rsidRPr="00CE17AE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66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Anaphylaxis Management training and briefings </w:t>
      </w:r>
      <w:r w:rsidR="009126B2">
        <w:rPr>
          <w:b w:val="0"/>
          <w:sz w:val="22"/>
          <w:szCs w:val="22"/>
        </w:rPr>
        <w:t xml:space="preserve">must </w:t>
      </w:r>
      <w:r>
        <w:rPr>
          <w:b w:val="0"/>
          <w:sz w:val="22"/>
          <w:szCs w:val="22"/>
        </w:rPr>
        <w:t xml:space="preserve">be provided to staff as detailed in the DOBCEL </w:t>
      </w:r>
      <w:r w:rsidRPr="000F17ED">
        <w:rPr>
          <w:b w:val="0"/>
          <w:i/>
          <w:iCs/>
          <w:sz w:val="22"/>
          <w:szCs w:val="22"/>
        </w:rPr>
        <w:t>Anaphylaxis Management Procedure</w:t>
      </w:r>
      <w:r>
        <w:rPr>
          <w:b w:val="0"/>
          <w:sz w:val="22"/>
          <w:szCs w:val="22"/>
        </w:rPr>
        <w:t xml:space="preserve">.   </w:t>
      </w:r>
    </w:p>
    <w:p w14:paraId="465F8827" w14:textId="77777777" w:rsidR="00C47866" w:rsidRDefault="00C47866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851"/>
        <w:contextualSpacing/>
        <w:jc w:val="both"/>
        <w:rPr>
          <w:b w:val="0"/>
          <w:sz w:val="22"/>
          <w:szCs w:val="22"/>
        </w:rPr>
      </w:pPr>
    </w:p>
    <w:p w14:paraId="59F719DB" w14:textId="77777777" w:rsidR="00C47866" w:rsidRPr="0086242F" w:rsidRDefault="00C47866" w:rsidP="00B30F5E">
      <w:pPr>
        <w:jc w:val="both"/>
      </w:pPr>
      <w:r>
        <w:t>Failure to complete and maintain the Anaphylaxis Management qualification or to participate in the twice yearly Anaphylaxis Management briefings, may result in disciplinary action.</w:t>
      </w:r>
    </w:p>
    <w:p w14:paraId="6759AB6A" w14:textId="77777777" w:rsidR="0086518F" w:rsidRDefault="0086518F" w:rsidP="00B30F5E">
      <w:pPr>
        <w:pStyle w:val="Heading1"/>
        <w:jc w:val="both"/>
        <w:rPr>
          <w:b/>
          <w:color w:val="391B76"/>
        </w:rPr>
      </w:pPr>
      <w:r>
        <w:rPr>
          <w:b/>
          <w:color w:val="391B76"/>
        </w:rPr>
        <w:t>Principles</w:t>
      </w:r>
    </w:p>
    <w:p w14:paraId="3D4C91A0" w14:textId="6478BC49" w:rsidR="000D5942" w:rsidRPr="00F65128" w:rsidRDefault="000D5942" w:rsidP="00B30F5E">
      <w:pPr>
        <w:pStyle w:val="ListNumber"/>
        <w:keepNext w:val="0"/>
        <w:widowControl w:val="0"/>
        <w:numPr>
          <w:ilvl w:val="0"/>
          <w:numId w:val="0"/>
        </w:numPr>
        <w:spacing w:after="0" w:line="240" w:lineRule="auto"/>
        <w:ind w:left="360" w:hanging="360"/>
        <w:contextualSpacing/>
        <w:jc w:val="both"/>
        <w:rPr>
          <w:bCs w:val="0"/>
          <w:i/>
          <w:iCs/>
          <w:sz w:val="22"/>
          <w:szCs w:val="22"/>
        </w:rPr>
      </w:pPr>
    </w:p>
    <w:tbl>
      <w:tblPr>
        <w:tblStyle w:val="TableGrid1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760"/>
      </w:tblGrid>
      <w:tr w:rsidR="00F438C6" w:rsidRPr="00667A78" w14:paraId="503B60F3" w14:textId="77777777" w:rsidTr="00F438C6">
        <w:tc>
          <w:tcPr>
            <w:tcW w:w="1370" w:type="pct"/>
          </w:tcPr>
          <w:p w14:paraId="6DC20E30" w14:textId="77777777" w:rsidR="00F438C6" w:rsidRPr="00F438C6" w:rsidRDefault="00F438C6" w:rsidP="00B30F5E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0" w:firstLine="0"/>
              <w:jc w:val="both"/>
              <w:rPr>
                <w:rFonts w:eastAsiaTheme="minorEastAsia" w:cstheme="minorHAnsi"/>
              </w:rPr>
            </w:pPr>
            <w:r w:rsidRPr="00F438C6">
              <w:rPr>
                <w:rFonts w:eastAsiaTheme="minorEastAsia" w:cstheme="minorHAnsi"/>
                <w:b/>
              </w:rPr>
              <w:t>Common good</w:t>
            </w:r>
          </w:p>
        </w:tc>
        <w:tc>
          <w:tcPr>
            <w:tcW w:w="3630" w:type="pct"/>
          </w:tcPr>
          <w:p w14:paraId="48A72B77" w14:textId="77777777" w:rsidR="00F438C6" w:rsidRPr="00667A78" w:rsidRDefault="00F438C6" w:rsidP="00B30F5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67A78">
              <w:rPr>
                <w:rFonts w:cstheme="minorHAnsi"/>
                <w:sz w:val="20"/>
                <w:szCs w:val="20"/>
              </w:rPr>
              <w:t>The idea that each social group must take account of the rights and aspirations of other groups, and of the well-being of the whole human family</w:t>
            </w:r>
          </w:p>
        </w:tc>
      </w:tr>
      <w:tr w:rsidR="00F438C6" w:rsidRPr="00667A78" w14:paraId="4EAA0BAC" w14:textId="77777777" w:rsidTr="00F438C6">
        <w:tc>
          <w:tcPr>
            <w:tcW w:w="1370" w:type="pct"/>
          </w:tcPr>
          <w:p w14:paraId="0A591B40" w14:textId="77777777" w:rsidR="00F438C6" w:rsidRPr="00F438C6" w:rsidRDefault="00F438C6" w:rsidP="00B30F5E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0" w:firstLine="0"/>
              <w:jc w:val="both"/>
              <w:rPr>
                <w:rFonts w:eastAsiaTheme="minorEastAsia" w:cstheme="minorHAnsi"/>
                <w:b/>
              </w:rPr>
            </w:pPr>
            <w:r w:rsidRPr="00F438C6">
              <w:rPr>
                <w:rFonts w:eastAsiaTheme="minorEastAsia" w:cstheme="minorHAnsi"/>
                <w:b/>
              </w:rPr>
              <w:t>Human dignity</w:t>
            </w:r>
          </w:p>
        </w:tc>
        <w:tc>
          <w:tcPr>
            <w:tcW w:w="3630" w:type="pct"/>
          </w:tcPr>
          <w:p w14:paraId="17771695" w14:textId="77777777" w:rsidR="00F438C6" w:rsidRPr="00667A78" w:rsidRDefault="00F438C6" w:rsidP="00B30F5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67A78">
              <w:rPr>
                <w:rFonts w:cstheme="minorHAnsi"/>
                <w:sz w:val="20"/>
                <w:szCs w:val="20"/>
              </w:rPr>
              <w:t>Each person is created in the image and likeness of God and so has an inalienable,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7A78">
              <w:rPr>
                <w:rFonts w:cstheme="minorHAnsi"/>
                <w:sz w:val="20"/>
                <w:szCs w:val="20"/>
              </w:rPr>
              <w:t>God-given dignity</w:t>
            </w:r>
          </w:p>
        </w:tc>
      </w:tr>
      <w:tr w:rsidR="00F438C6" w:rsidRPr="00667A78" w14:paraId="29C8C1FF" w14:textId="77777777" w:rsidTr="00F438C6">
        <w:tc>
          <w:tcPr>
            <w:tcW w:w="1370" w:type="pct"/>
          </w:tcPr>
          <w:p w14:paraId="1B1A89BD" w14:textId="77777777" w:rsidR="00F438C6" w:rsidRPr="00F438C6" w:rsidRDefault="00F438C6" w:rsidP="00B30F5E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0" w:firstLine="0"/>
              <w:jc w:val="both"/>
              <w:rPr>
                <w:rFonts w:eastAsiaTheme="minorEastAsia" w:cstheme="minorHAnsi"/>
                <w:b/>
              </w:rPr>
            </w:pPr>
            <w:r w:rsidRPr="00F438C6">
              <w:rPr>
                <w:rFonts w:eastAsiaTheme="minorEastAsia" w:cstheme="minorHAnsi"/>
                <w:b/>
              </w:rPr>
              <w:t>Transparency</w:t>
            </w:r>
          </w:p>
        </w:tc>
        <w:tc>
          <w:tcPr>
            <w:tcW w:w="3630" w:type="pct"/>
          </w:tcPr>
          <w:p w14:paraId="6422E56F" w14:textId="77777777" w:rsidR="00F438C6" w:rsidRPr="00667A78" w:rsidRDefault="00F438C6" w:rsidP="00B30F5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67A78">
              <w:rPr>
                <w:rFonts w:cstheme="minorHAnsi"/>
                <w:sz w:val="20"/>
                <w:szCs w:val="20"/>
              </w:rPr>
              <w:t>Timely and accurate disclosure/reporting about performance, decision making and financial health of the organization to key stakeholders</w:t>
            </w:r>
          </w:p>
        </w:tc>
      </w:tr>
    </w:tbl>
    <w:p w14:paraId="72B38839" w14:textId="77777777" w:rsidR="00781672" w:rsidRDefault="00781672" w:rsidP="00B30F5E">
      <w:pPr>
        <w:pStyle w:val="Heading1"/>
        <w:jc w:val="both"/>
        <w:rPr>
          <w:b/>
          <w:color w:val="391B76"/>
        </w:rPr>
      </w:pPr>
    </w:p>
    <w:p w14:paraId="3D9A8A9F" w14:textId="77777777" w:rsidR="005E22EB" w:rsidRDefault="005E22EB">
      <w:pPr>
        <w:rPr>
          <w:rFonts w:asciiTheme="majorHAnsi" w:eastAsiaTheme="majorEastAsia" w:hAnsiTheme="majorHAnsi" w:cstheme="majorBidi"/>
          <w:b/>
          <w:color w:val="391B76"/>
          <w:sz w:val="32"/>
          <w:szCs w:val="32"/>
        </w:rPr>
      </w:pPr>
      <w:r>
        <w:rPr>
          <w:b/>
          <w:color w:val="391B76"/>
        </w:rPr>
        <w:br w:type="page"/>
      </w:r>
    </w:p>
    <w:p w14:paraId="1BB3DD3B" w14:textId="47D47BB4" w:rsidR="00D03630" w:rsidRDefault="00D03630" w:rsidP="00B30F5E">
      <w:pPr>
        <w:pStyle w:val="Heading1"/>
        <w:jc w:val="both"/>
      </w:pPr>
      <w:r w:rsidRPr="00C716FF">
        <w:rPr>
          <w:b/>
          <w:color w:val="391B76"/>
        </w:rPr>
        <w:t>Re</w:t>
      </w:r>
      <w:r w:rsidR="005413B6">
        <w:rPr>
          <w:b/>
          <w:color w:val="391B76"/>
        </w:rPr>
        <w:t>ferences</w:t>
      </w:r>
      <w:r>
        <w:rPr>
          <w:b/>
          <w:color w:val="391B76"/>
        </w:rPr>
        <w:t xml:space="preserve"> </w:t>
      </w:r>
    </w:p>
    <w:p w14:paraId="5E3AE84A" w14:textId="77777777" w:rsidR="00D03630" w:rsidRDefault="00D03630" w:rsidP="00B30F5E">
      <w:pPr>
        <w:pStyle w:val="DotPointLeftAligned"/>
        <w:numPr>
          <w:ilvl w:val="0"/>
          <w:numId w:val="32"/>
        </w:numPr>
        <w:spacing w:after="0"/>
        <w:ind w:right="120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>Education and Training Reform Act 2006 Section 4.3.1(6) (c)</w:t>
      </w:r>
    </w:p>
    <w:p w14:paraId="14EE4025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asciiTheme="minorHAnsi" w:hAnsiTheme="minorHAnsi" w:cs="Arial"/>
        </w:rPr>
      </w:pPr>
      <w:r>
        <w:rPr>
          <w:rFonts w:cs="Arial"/>
        </w:rPr>
        <w:t>Children’s Services and Education Legislation (Anaphylaxis Management) Amendment Act 2008 (VIC)</w:t>
      </w:r>
    </w:p>
    <w:p w14:paraId="131F7614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>Children’s Services Act 1996</w:t>
      </w:r>
    </w:p>
    <w:p w14:paraId="39019E4E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>Education and Care Services National Law Act 2010 (CTH)</w:t>
      </w:r>
    </w:p>
    <w:p w14:paraId="0E22E34A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>Education and Care Services National Regulations 2011 (CTH)</w:t>
      </w:r>
    </w:p>
    <w:p w14:paraId="6B765643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>Disability Discrimination Act 1992 (CTH)</w:t>
      </w:r>
    </w:p>
    <w:p w14:paraId="35D83403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>Disability Standards for Education 2005 (CTH)</w:t>
      </w:r>
    </w:p>
    <w:p w14:paraId="425031AE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 xml:space="preserve">Victorian Registration and Qualification Authority (VRQA) </w:t>
      </w:r>
    </w:p>
    <w:p w14:paraId="198EAAD8" w14:textId="77777777" w:rsidR="00D03630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</w:rPr>
      </w:pPr>
      <w:r>
        <w:rPr>
          <w:rFonts w:cs="Arial"/>
        </w:rPr>
        <w:t xml:space="preserve">Occupational Health and Safety Act 2004 (VIC)  </w:t>
      </w:r>
    </w:p>
    <w:p w14:paraId="113CD0A7" w14:textId="77777777" w:rsidR="00D03630" w:rsidRPr="007C4C87" w:rsidRDefault="00D03630" w:rsidP="00B30F5E">
      <w:pPr>
        <w:pStyle w:val="ListParagraph"/>
        <w:numPr>
          <w:ilvl w:val="0"/>
          <w:numId w:val="32"/>
        </w:numPr>
        <w:spacing w:after="0" w:line="240" w:lineRule="auto"/>
        <w:ind w:right="120"/>
        <w:jc w:val="both"/>
        <w:rPr>
          <w:rFonts w:cs="Arial"/>
          <w:b/>
        </w:rPr>
      </w:pPr>
      <w:r>
        <w:rPr>
          <w:rFonts w:cs="Arial"/>
        </w:rPr>
        <w:t>Ministerial Order 706 ' Anaphylaxis Management in Victorian schools' December 2015</w:t>
      </w:r>
    </w:p>
    <w:p w14:paraId="5409B54F" w14:textId="5493C957" w:rsidR="009A2B9A" w:rsidRPr="005413B6" w:rsidRDefault="00D03630" w:rsidP="00B30F5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</w:pPr>
      <w:r w:rsidRPr="00D03630">
        <w:rPr>
          <w:rFonts w:cs="Arial"/>
        </w:rPr>
        <w:t>Department of Education Anaphylaxis Guidelines</w:t>
      </w:r>
      <w:r w:rsidR="00517BF1">
        <w:rPr>
          <w:rFonts w:cs="Arial"/>
        </w:rPr>
        <w:t xml:space="preserve"> – A resour</w:t>
      </w:r>
      <w:r w:rsidR="00F0612C">
        <w:rPr>
          <w:rFonts w:cs="Arial"/>
        </w:rPr>
        <w:t>ce for managing severe allergies in Victorian schools</w:t>
      </w:r>
      <w:r w:rsidRPr="00D03630">
        <w:rPr>
          <w:rFonts w:cs="Arial"/>
        </w:rPr>
        <w:t xml:space="preserve"> </w:t>
      </w:r>
      <w:r w:rsidR="00F0612C">
        <w:rPr>
          <w:rFonts w:cs="Arial"/>
        </w:rPr>
        <w:t xml:space="preserve">issued </w:t>
      </w:r>
      <w:r w:rsidRPr="00D03630">
        <w:rPr>
          <w:rFonts w:cs="Arial"/>
        </w:rPr>
        <w:t>July 2017</w:t>
      </w:r>
    </w:p>
    <w:p w14:paraId="17391061" w14:textId="77777777" w:rsidR="005413B6" w:rsidRPr="00C716FF" w:rsidRDefault="005413B6" w:rsidP="00B30F5E">
      <w:pPr>
        <w:pStyle w:val="Heading1"/>
        <w:jc w:val="both"/>
        <w:rPr>
          <w:b/>
          <w:color w:val="391B76"/>
        </w:rPr>
      </w:pPr>
      <w:r w:rsidRPr="00C716FF">
        <w:rPr>
          <w:b/>
          <w:color w:val="391B76"/>
        </w:rPr>
        <w:t>Related Policies and Documents</w:t>
      </w:r>
    </w:p>
    <w:p w14:paraId="033620BA" w14:textId="77777777" w:rsidR="005413B6" w:rsidRDefault="005413B6" w:rsidP="00B30F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</w:pPr>
      <w:r w:rsidRPr="00FB3E52">
        <w:t xml:space="preserve">DOBCEL </w:t>
      </w:r>
      <w:r>
        <w:t>Anaphylaxis Management Procedure</w:t>
      </w:r>
    </w:p>
    <w:p w14:paraId="4E9225FD" w14:textId="77777777" w:rsidR="005413B6" w:rsidRDefault="005413B6" w:rsidP="00B30F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</w:pPr>
      <w:r>
        <w:t>DOBCEL Anaphylaxis Emergency Response Plan</w:t>
      </w:r>
    </w:p>
    <w:p w14:paraId="57C84391" w14:textId="77777777" w:rsidR="005413B6" w:rsidRPr="00FB3E52" w:rsidRDefault="005413B6" w:rsidP="00B30F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DOBCEL </w:t>
      </w:r>
      <w:r w:rsidRPr="00FB3E52">
        <w:t>Student Care and Health</w:t>
      </w:r>
    </w:p>
    <w:p w14:paraId="38D500DF" w14:textId="77777777" w:rsidR="005413B6" w:rsidRPr="00FB3E52" w:rsidRDefault="005413B6" w:rsidP="00B30F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</w:pPr>
      <w:r w:rsidRPr="00FB3E52">
        <w:t>DOBCEL Duty of Care: Supervision of Students</w:t>
      </w:r>
    </w:p>
    <w:sectPr w:rsidR="005413B6" w:rsidRPr="00FB3E52" w:rsidSect="009D62FF">
      <w:footerReference w:type="default" r:id="rId11"/>
      <w:headerReference w:type="first" r:id="rId12"/>
      <w:pgSz w:w="11906" w:h="16838"/>
      <w:pgMar w:top="709" w:right="1440" w:bottom="851" w:left="1440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D895" w14:textId="77777777" w:rsidR="000E4FA2" w:rsidRDefault="000E4FA2" w:rsidP="00C83CF8">
      <w:pPr>
        <w:spacing w:after="0" w:line="240" w:lineRule="auto"/>
      </w:pPr>
      <w:r>
        <w:separator/>
      </w:r>
    </w:p>
  </w:endnote>
  <w:endnote w:type="continuationSeparator" w:id="0">
    <w:p w14:paraId="23CF1549" w14:textId="77777777" w:rsidR="000E4FA2" w:rsidRDefault="000E4FA2" w:rsidP="00C8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D724" w14:textId="36903509" w:rsidR="00103920" w:rsidRDefault="001F0A90">
    <w:pPr>
      <w:pStyle w:val="Foot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216" behindDoc="1" locked="0" layoutInCell="1" allowOverlap="1" wp14:anchorId="6A96ED49" wp14:editId="3B1A059A">
          <wp:simplePos x="0" y="0"/>
          <wp:positionH relativeFrom="column">
            <wp:posOffset>-901065</wp:posOffset>
          </wp:positionH>
          <wp:positionV relativeFrom="paragraph">
            <wp:posOffset>-48895</wp:posOffset>
          </wp:positionV>
          <wp:extent cx="7553739" cy="935990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SAC_DarkBlueWaveWithRainbow-Footer-A4-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B71D4">
      <w:rPr>
        <w:sz w:val="18"/>
        <w:szCs w:val="18"/>
      </w:rPr>
      <w:t xml:space="preserve"> </w:t>
    </w:r>
    <w:r w:rsidR="007C6D83">
      <w:rPr>
        <w:sz w:val="18"/>
        <w:szCs w:val="18"/>
      </w:rPr>
      <w:t>DOBCEL</w:t>
    </w:r>
    <w:r w:rsidR="009628F5">
      <w:rPr>
        <w:sz w:val="18"/>
        <w:szCs w:val="18"/>
      </w:rPr>
      <w:t xml:space="preserve"> Anaphylaxis </w:t>
    </w:r>
    <w:r w:rsidR="005E22EB">
      <w:rPr>
        <w:sz w:val="18"/>
        <w:szCs w:val="18"/>
      </w:rPr>
      <w:t xml:space="preserve">Management </w:t>
    </w:r>
    <w:r w:rsidR="009628F5">
      <w:rPr>
        <w:sz w:val="18"/>
        <w:szCs w:val="18"/>
      </w:rPr>
      <w:t>Policy</w:t>
    </w:r>
    <w:r w:rsidR="00103920">
      <w:rPr>
        <w:sz w:val="18"/>
        <w:szCs w:val="18"/>
      </w:rPr>
      <w:tab/>
    </w:r>
    <w:r w:rsidR="00103920" w:rsidRPr="002A1733">
      <w:rPr>
        <w:color w:val="FFFFFF" w:themeColor="background1"/>
        <w:sz w:val="18"/>
        <w:szCs w:val="18"/>
      </w:rPr>
      <w:fldChar w:fldCharType="begin"/>
    </w:r>
    <w:r w:rsidR="00103920" w:rsidRPr="002A1733">
      <w:rPr>
        <w:color w:val="FFFFFF" w:themeColor="background1"/>
        <w:sz w:val="18"/>
        <w:szCs w:val="18"/>
      </w:rPr>
      <w:instrText xml:space="preserve"> PAGE   \* MERGEFORMAT </w:instrText>
    </w:r>
    <w:r w:rsidR="00103920" w:rsidRPr="002A1733">
      <w:rPr>
        <w:color w:val="FFFFFF" w:themeColor="background1"/>
        <w:sz w:val="18"/>
        <w:szCs w:val="18"/>
      </w:rPr>
      <w:fldChar w:fldCharType="separate"/>
    </w:r>
    <w:r w:rsidR="006D55D1">
      <w:rPr>
        <w:noProof/>
        <w:color w:val="FFFFFF" w:themeColor="background1"/>
        <w:sz w:val="18"/>
        <w:szCs w:val="18"/>
      </w:rPr>
      <w:t>4</w:t>
    </w:r>
    <w:r w:rsidR="00103920" w:rsidRPr="002A1733">
      <w:rPr>
        <w:noProof/>
        <w:color w:val="FFFFFF" w:themeColor="background1"/>
        <w:sz w:val="18"/>
        <w:szCs w:val="18"/>
      </w:rPr>
      <w:fldChar w:fldCharType="end"/>
    </w:r>
  </w:p>
  <w:p w14:paraId="31925C8A" w14:textId="77777777" w:rsidR="00D1672A" w:rsidRDefault="00D16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3247" w14:textId="77777777" w:rsidR="000E4FA2" w:rsidRDefault="000E4FA2" w:rsidP="00C83CF8">
      <w:pPr>
        <w:spacing w:after="0" w:line="240" w:lineRule="auto"/>
      </w:pPr>
      <w:r>
        <w:separator/>
      </w:r>
    </w:p>
  </w:footnote>
  <w:footnote w:type="continuationSeparator" w:id="0">
    <w:p w14:paraId="6E326957" w14:textId="77777777" w:rsidR="000E4FA2" w:rsidRDefault="000E4FA2" w:rsidP="00C8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1F90" w14:textId="3BDA5E76" w:rsidR="00634875" w:rsidRDefault="00D50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055B6FD" wp14:editId="235A0425">
          <wp:simplePos x="0" y="0"/>
          <wp:positionH relativeFrom="column">
            <wp:posOffset>-342900</wp:posOffset>
          </wp:positionH>
          <wp:positionV relativeFrom="paragraph">
            <wp:posOffset>-515620</wp:posOffset>
          </wp:positionV>
          <wp:extent cx="2200350" cy="1160145"/>
          <wp:effectExtent l="0" t="0" r="952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BCEL_White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35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A90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4F5DB936" wp14:editId="5997282E">
          <wp:simplePos x="0" y="0"/>
          <wp:positionH relativeFrom="column">
            <wp:posOffset>-901700</wp:posOffset>
          </wp:positionH>
          <wp:positionV relativeFrom="paragraph">
            <wp:posOffset>-2569293</wp:posOffset>
          </wp:positionV>
          <wp:extent cx="7539990" cy="4629785"/>
          <wp:effectExtent l="0" t="0" r="3810" b="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SAC_DarkBlueWaveWithRainbowHeader_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462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22A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79B06A6"/>
    <w:multiLevelType w:val="hybridMultilevel"/>
    <w:tmpl w:val="82BE3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7013E"/>
    <w:multiLevelType w:val="hybridMultilevel"/>
    <w:tmpl w:val="AD3C51F2"/>
    <w:lvl w:ilvl="0" w:tplc="1E4C9E36">
      <w:start w:val="1"/>
      <w:numFmt w:val="decimal"/>
      <w:lvlText w:val="%1.0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83D"/>
    <w:multiLevelType w:val="hybridMultilevel"/>
    <w:tmpl w:val="C7A24630"/>
    <w:lvl w:ilvl="0" w:tplc="91C83BF8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E33A8A"/>
    <w:multiLevelType w:val="hybridMultilevel"/>
    <w:tmpl w:val="4CE8BD2E"/>
    <w:lvl w:ilvl="0" w:tplc="91C83B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59A"/>
    <w:multiLevelType w:val="hybridMultilevel"/>
    <w:tmpl w:val="880E1114"/>
    <w:lvl w:ilvl="0" w:tplc="37AC1112">
      <w:start w:val="1"/>
      <w:numFmt w:val="decimal"/>
      <w:lvlText w:val="1.%1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20A04"/>
    <w:multiLevelType w:val="hybridMultilevel"/>
    <w:tmpl w:val="56EC237E"/>
    <w:lvl w:ilvl="0" w:tplc="91C83B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1C83BF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83D"/>
    <w:multiLevelType w:val="hybridMultilevel"/>
    <w:tmpl w:val="CB806F86"/>
    <w:lvl w:ilvl="0" w:tplc="FBCAF9BC">
      <w:start w:val="1"/>
      <w:numFmt w:val="decimal"/>
      <w:lvlText w:val="%1.0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AE8"/>
    <w:multiLevelType w:val="multilevel"/>
    <w:tmpl w:val="C65C5D56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 w:val="0"/>
        <w:i w:val="0"/>
      </w:rPr>
    </w:lvl>
  </w:abstractNum>
  <w:abstractNum w:abstractNumId="9" w15:restartNumberingAfterBreak="0">
    <w:nsid w:val="1E3B7B2D"/>
    <w:multiLevelType w:val="hybridMultilevel"/>
    <w:tmpl w:val="37760F5E"/>
    <w:lvl w:ilvl="0" w:tplc="0C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F7F4D606">
      <w:numFmt w:val="bullet"/>
      <w:lvlText w:val="•"/>
      <w:lvlJc w:val="left"/>
      <w:pPr>
        <w:ind w:left="2291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03A1C21"/>
    <w:multiLevelType w:val="hybridMultilevel"/>
    <w:tmpl w:val="C1266302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0D3E"/>
    <w:multiLevelType w:val="hybridMultilevel"/>
    <w:tmpl w:val="5D5CF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4D11"/>
    <w:multiLevelType w:val="hybridMultilevel"/>
    <w:tmpl w:val="A574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3384"/>
    <w:multiLevelType w:val="multilevel"/>
    <w:tmpl w:val="8612E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9076BB"/>
    <w:multiLevelType w:val="multilevel"/>
    <w:tmpl w:val="22EC24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FE1ECD"/>
    <w:multiLevelType w:val="multilevel"/>
    <w:tmpl w:val="FBEAD51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1FA06AF"/>
    <w:multiLevelType w:val="multilevel"/>
    <w:tmpl w:val="27DA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94743D"/>
    <w:multiLevelType w:val="hybridMultilevel"/>
    <w:tmpl w:val="508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72CF"/>
    <w:multiLevelType w:val="hybridMultilevel"/>
    <w:tmpl w:val="72E682B2"/>
    <w:lvl w:ilvl="0" w:tplc="1E4C9E36">
      <w:start w:val="1"/>
      <w:numFmt w:val="decimal"/>
      <w:lvlText w:val="%1.0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792"/>
    <w:multiLevelType w:val="multilevel"/>
    <w:tmpl w:val="C39E1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842900"/>
    <w:multiLevelType w:val="hybridMultilevel"/>
    <w:tmpl w:val="1E6EAC34"/>
    <w:lvl w:ilvl="0" w:tplc="91C83B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C6659"/>
    <w:multiLevelType w:val="hybridMultilevel"/>
    <w:tmpl w:val="687A9BC8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6455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68D8"/>
    <w:multiLevelType w:val="hybridMultilevel"/>
    <w:tmpl w:val="FA5ADD4A"/>
    <w:lvl w:ilvl="0" w:tplc="91C83BF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87C9F"/>
    <w:multiLevelType w:val="hybridMultilevel"/>
    <w:tmpl w:val="5254EEA2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61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75E5"/>
    <w:multiLevelType w:val="multilevel"/>
    <w:tmpl w:val="CA0264F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 w:val="0"/>
        <w:i w:val="0"/>
        <w:color w:val="000000"/>
      </w:rPr>
    </w:lvl>
  </w:abstractNum>
  <w:abstractNum w:abstractNumId="26" w15:restartNumberingAfterBreak="0">
    <w:nsid w:val="5C097C59"/>
    <w:multiLevelType w:val="multilevel"/>
    <w:tmpl w:val="A24CB25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603054"/>
    <w:multiLevelType w:val="multilevel"/>
    <w:tmpl w:val="548630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6C628E"/>
    <w:multiLevelType w:val="hybridMultilevel"/>
    <w:tmpl w:val="3E60453A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0C92"/>
    <w:multiLevelType w:val="hybridMultilevel"/>
    <w:tmpl w:val="F5B4A0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FA36F5"/>
    <w:multiLevelType w:val="multilevel"/>
    <w:tmpl w:val="8FECB9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CF7731"/>
    <w:multiLevelType w:val="hybridMultilevel"/>
    <w:tmpl w:val="D74E87EA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73758"/>
    <w:multiLevelType w:val="hybridMultilevel"/>
    <w:tmpl w:val="EBD8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61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C1223"/>
    <w:multiLevelType w:val="hybridMultilevel"/>
    <w:tmpl w:val="F94A13B4"/>
    <w:lvl w:ilvl="0" w:tplc="BDA61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33A14"/>
    <w:multiLevelType w:val="multilevel"/>
    <w:tmpl w:val="A6907C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4"/>
  </w:num>
  <w:num w:numId="5">
    <w:abstractNumId w:val="5"/>
  </w:num>
  <w:num w:numId="6">
    <w:abstractNumId w:val="19"/>
  </w:num>
  <w:num w:numId="7">
    <w:abstractNumId w:val="13"/>
  </w:num>
  <w:num w:numId="8">
    <w:abstractNumId w:val="8"/>
  </w:num>
  <w:num w:numId="9">
    <w:abstractNumId w:val="14"/>
  </w:num>
  <w:num w:numId="10">
    <w:abstractNumId w:val="25"/>
  </w:num>
  <w:num w:numId="11">
    <w:abstractNumId w:val="15"/>
  </w:num>
  <w:num w:numId="12">
    <w:abstractNumId w:val="30"/>
  </w:num>
  <w:num w:numId="13">
    <w:abstractNumId w:val="26"/>
  </w:num>
  <w:num w:numId="14">
    <w:abstractNumId w:val="0"/>
  </w:num>
  <w:num w:numId="15">
    <w:abstractNumId w:val="27"/>
  </w:num>
  <w:num w:numId="16">
    <w:abstractNumId w:val="1"/>
  </w:num>
  <w:num w:numId="17">
    <w:abstractNumId w:val="29"/>
  </w:num>
  <w:num w:numId="18">
    <w:abstractNumId w:val="23"/>
  </w:num>
  <w:num w:numId="19">
    <w:abstractNumId w:val="3"/>
  </w:num>
  <w:num w:numId="20">
    <w:abstractNumId w:val="9"/>
  </w:num>
  <w:num w:numId="21">
    <w:abstractNumId w:val="20"/>
  </w:num>
  <w:num w:numId="22">
    <w:abstractNumId w:val="6"/>
  </w:num>
  <w:num w:numId="23">
    <w:abstractNumId w:val="28"/>
  </w:num>
  <w:num w:numId="24">
    <w:abstractNumId w:val="33"/>
  </w:num>
  <w:num w:numId="25">
    <w:abstractNumId w:val="31"/>
  </w:num>
  <w:num w:numId="26">
    <w:abstractNumId w:val="21"/>
  </w:num>
  <w:num w:numId="27">
    <w:abstractNumId w:val="24"/>
  </w:num>
  <w:num w:numId="28">
    <w:abstractNumId w:val="10"/>
  </w:num>
  <w:num w:numId="29">
    <w:abstractNumId w:val="12"/>
  </w:num>
  <w:num w:numId="30">
    <w:abstractNumId w:val="32"/>
  </w:num>
  <w:num w:numId="31">
    <w:abstractNumId w:val="11"/>
  </w:num>
  <w:num w:numId="32">
    <w:abstractNumId w:val="4"/>
  </w:num>
  <w:num w:numId="33">
    <w:abstractNumId w:val="18"/>
  </w:num>
  <w:num w:numId="34">
    <w:abstractNumId w:val="22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NDI1Mzc0NzK3MDRX0lEKTi0uzszPAykwqQUAFf6wmSwAAAA="/>
  </w:docVars>
  <w:rsids>
    <w:rsidRoot w:val="00C83CF8"/>
    <w:rsid w:val="00011949"/>
    <w:rsid w:val="00023BB6"/>
    <w:rsid w:val="00043864"/>
    <w:rsid w:val="0004437E"/>
    <w:rsid w:val="000621DC"/>
    <w:rsid w:val="00080112"/>
    <w:rsid w:val="00080CEB"/>
    <w:rsid w:val="00084A1E"/>
    <w:rsid w:val="000B5DDD"/>
    <w:rsid w:val="000C0E2C"/>
    <w:rsid w:val="000C6665"/>
    <w:rsid w:val="000C7BC5"/>
    <w:rsid w:val="000D3953"/>
    <w:rsid w:val="000D5942"/>
    <w:rsid w:val="000E4FA2"/>
    <w:rsid w:val="000F17ED"/>
    <w:rsid w:val="0010021B"/>
    <w:rsid w:val="00103920"/>
    <w:rsid w:val="00103EA2"/>
    <w:rsid w:val="0011181F"/>
    <w:rsid w:val="00114BBD"/>
    <w:rsid w:val="001272C6"/>
    <w:rsid w:val="001354A3"/>
    <w:rsid w:val="00151B94"/>
    <w:rsid w:val="00153737"/>
    <w:rsid w:val="00172CFC"/>
    <w:rsid w:val="00185FE3"/>
    <w:rsid w:val="0019548A"/>
    <w:rsid w:val="001B501B"/>
    <w:rsid w:val="001B69CD"/>
    <w:rsid w:val="001D24FF"/>
    <w:rsid w:val="001D63E3"/>
    <w:rsid w:val="001E0112"/>
    <w:rsid w:val="001F0A90"/>
    <w:rsid w:val="001F13C6"/>
    <w:rsid w:val="001F1737"/>
    <w:rsid w:val="001F71A7"/>
    <w:rsid w:val="002219D6"/>
    <w:rsid w:val="00226986"/>
    <w:rsid w:val="002317D7"/>
    <w:rsid w:val="00234369"/>
    <w:rsid w:val="002350CA"/>
    <w:rsid w:val="00245BBE"/>
    <w:rsid w:val="00250DF1"/>
    <w:rsid w:val="002517EE"/>
    <w:rsid w:val="0026239C"/>
    <w:rsid w:val="002638C9"/>
    <w:rsid w:val="002642C0"/>
    <w:rsid w:val="00271A22"/>
    <w:rsid w:val="00286993"/>
    <w:rsid w:val="0029438C"/>
    <w:rsid w:val="00297497"/>
    <w:rsid w:val="002A1733"/>
    <w:rsid w:val="002B6BE7"/>
    <w:rsid w:val="002D1EA6"/>
    <w:rsid w:val="002F4327"/>
    <w:rsid w:val="002F6532"/>
    <w:rsid w:val="00320B1F"/>
    <w:rsid w:val="00321F82"/>
    <w:rsid w:val="00324E87"/>
    <w:rsid w:val="00330327"/>
    <w:rsid w:val="003308BF"/>
    <w:rsid w:val="00337613"/>
    <w:rsid w:val="0035605F"/>
    <w:rsid w:val="00357F3E"/>
    <w:rsid w:val="00362A7E"/>
    <w:rsid w:val="00380C5A"/>
    <w:rsid w:val="003835AB"/>
    <w:rsid w:val="003943EB"/>
    <w:rsid w:val="003D629F"/>
    <w:rsid w:val="003E0119"/>
    <w:rsid w:val="003E01D7"/>
    <w:rsid w:val="003E1232"/>
    <w:rsid w:val="003E4901"/>
    <w:rsid w:val="003F13AF"/>
    <w:rsid w:val="003F5BA4"/>
    <w:rsid w:val="0041047F"/>
    <w:rsid w:val="00417C59"/>
    <w:rsid w:val="00422B65"/>
    <w:rsid w:val="00430EBB"/>
    <w:rsid w:val="00431251"/>
    <w:rsid w:val="004324BF"/>
    <w:rsid w:val="00435979"/>
    <w:rsid w:val="00450460"/>
    <w:rsid w:val="00450B47"/>
    <w:rsid w:val="00456692"/>
    <w:rsid w:val="00456FCA"/>
    <w:rsid w:val="004A677A"/>
    <w:rsid w:val="004C42EC"/>
    <w:rsid w:val="00511DCD"/>
    <w:rsid w:val="00517BF1"/>
    <w:rsid w:val="00523336"/>
    <w:rsid w:val="0052664B"/>
    <w:rsid w:val="005413B6"/>
    <w:rsid w:val="00547A16"/>
    <w:rsid w:val="00560843"/>
    <w:rsid w:val="005A03D0"/>
    <w:rsid w:val="005A715E"/>
    <w:rsid w:val="005B015D"/>
    <w:rsid w:val="005B0266"/>
    <w:rsid w:val="005B1370"/>
    <w:rsid w:val="005C3F34"/>
    <w:rsid w:val="005D1635"/>
    <w:rsid w:val="005E22EB"/>
    <w:rsid w:val="005E45AF"/>
    <w:rsid w:val="005E4845"/>
    <w:rsid w:val="005F3892"/>
    <w:rsid w:val="00601D8C"/>
    <w:rsid w:val="006038A5"/>
    <w:rsid w:val="00607CA4"/>
    <w:rsid w:val="0061774D"/>
    <w:rsid w:val="00624637"/>
    <w:rsid w:val="00634875"/>
    <w:rsid w:val="00650E3A"/>
    <w:rsid w:val="00657638"/>
    <w:rsid w:val="00681983"/>
    <w:rsid w:val="006B2229"/>
    <w:rsid w:val="006B617C"/>
    <w:rsid w:val="006D41AB"/>
    <w:rsid w:val="006D55D1"/>
    <w:rsid w:val="006F0EDB"/>
    <w:rsid w:val="00714981"/>
    <w:rsid w:val="00731408"/>
    <w:rsid w:val="00734565"/>
    <w:rsid w:val="00745183"/>
    <w:rsid w:val="007637B4"/>
    <w:rsid w:val="00775D24"/>
    <w:rsid w:val="00781672"/>
    <w:rsid w:val="0079268A"/>
    <w:rsid w:val="007B173D"/>
    <w:rsid w:val="007B54BE"/>
    <w:rsid w:val="007B71D4"/>
    <w:rsid w:val="007C4EE3"/>
    <w:rsid w:val="007C6D83"/>
    <w:rsid w:val="007D4A63"/>
    <w:rsid w:val="007D57AE"/>
    <w:rsid w:val="007D6804"/>
    <w:rsid w:val="007E020F"/>
    <w:rsid w:val="007E5E98"/>
    <w:rsid w:val="007F0566"/>
    <w:rsid w:val="007F586A"/>
    <w:rsid w:val="00834E45"/>
    <w:rsid w:val="008360F6"/>
    <w:rsid w:val="0084008A"/>
    <w:rsid w:val="00846ED5"/>
    <w:rsid w:val="0086195D"/>
    <w:rsid w:val="0086242F"/>
    <w:rsid w:val="0086518F"/>
    <w:rsid w:val="0087023B"/>
    <w:rsid w:val="00890240"/>
    <w:rsid w:val="008A4700"/>
    <w:rsid w:val="008A775C"/>
    <w:rsid w:val="008C4AB8"/>
    <w:rsid w:val="008D3DC6"/>
    <w:rsid w:val="008E69F4"/>
    <w:rsid w:val="008E6D58"/>
    <w:rsid w:val="00901EA3"/>
    <w:rsid w:val="00907228"/>
    <w:rsid w:val="009126B2"/>
    <w:rsid w:val="00917498"/>
    <w:rsid w:val="00921D8B"/>
    <w:rsid w:val="009520A7"/>
    <w:rsid w:val="00954F06"/>
    <w:rsid w:val="009628F5"/>
    <w:rsid w:val="009676A3"/>
    <w:rsid w:val="009A2B9A"/>
    <w:rsid w:val="009B1CD4"/>
    <w:rsid w:val="009C37ED"/>
    <w:rsid w:val="009D056E"/>
    <w:rsid w:val="009D62FF"/>
    <w:rsid w:val="009E576B"/>
    <w:rsid w:val="00A1027E"/>
    <w:rsid w:val="00A13998"/>
    <w:rsid w:val="00A15A2F"/>
    <w:rsid w:val="00A217EC"/>
    <w:rsid w:val="00A350ED"/>
    <w:rsid w:val="00A43EAD"/>
    <w:rsid w:val="00A46FF6"/>
    <w:rsid w:val="00A5171F"/>
    <w:rsid w:val="00A5201A"/>
    <w:rsid w:val="00A52984"/>
    <w:rsid w:val="00A5501A"/>
    <w:rsid w:val="00A552B6"/>
    <w:rsid w:val="00A61D69"/>
    <w:rsid w:val="00A81529"/>
    <w:rsid w:val="00A85FAB"/>
    <w:rsid w:val="00A96349"/>
    <w:rsid w:val="00AA4906"/>
    <w:rsid w:val="00AA7267"/>
    <w:rsid w:val="00AB0F88"/>
    <w:rsid w:val="00AB5A61"/>
    <w:rsid w:val="00AE7339"/>
    <w:rsid w:val="00AF0BC8"/>
    <w:rsid w:val="00AF1B89"/>
    <w:rsid w:val="00B00D7F"/>
    <w:rsid w:val="00B256F3"/>
    <w:rsid w:val="00B30F5E"/>
    <w:rsid w:val="00B34B8F"/>
    <w:rsid w:val="00B354EA"/>
    <w:rsid w:val="00B5673F"/>
    <w:rsid w:val="00B642A1"/>
    <w:rsid w:val="00B8534C"/>
    <w:rsid w:val="00B85610"/>
    <w:rsid w:val="00B8762E"/>
    <w:rsid w:val="00B92AC2"/>
    <w:rsid w:val="00BB5FEE"/>
    <w:rsid w:val="00BB6001"/>
    <w:rsid w:val="00BD11F1"/>
    <w:rsid w:val="00BD7147"/>
    <w:rsid w:val="00BE2D8B"/>
    <w:rsid w:val="00BE3F0F"/>
    <w:rsid w:val="00BF29F9"/>
    <w:rsid w:val="00BF4E6A"/>
    <w:rsid w:val="00C01C1A"/>
    <w:rsid w:val="00C0725B"/>
    <w:rsid w:val="00C153AB"/>
    <w:rsid w:val="00C3750A"/>
    <w:rsid w:val="00C40C93"/>
    <w:rsid w:val="00C40E72"/>
    <w:rsid w:val="00C47812"/>
    <w:rsid w:val="00C47866"/>
    <w:rsid w:val="00C53502"/>
    <w:rsid w:val="00C57562"/>
    <w:rsid w:val="00C716FF"/>
    <w:rsid w:val="00C71DC8"/>
    <w:rsid w:val="00C71E54"/>
    <w:rsid w:val="00C729CC"/>
    <w:rsid w:val="00C72F5C"/>
    <w:rsid w:val="00C83CF8"/>
    <w:rsid w:val="00CA1D76"/>
    <w:rsid w:val="00CA72E9"/>
    <w:rsid w:val="00CB2C75"/>
    <w:rsid w:val="00CE17AE"/>
    <w:rsid w:val="00D02D4B"/>
    <w:rsid w:val="00D03630"/>
    <w:rsid w:val="00D1672A"/>
    <w:rsid w:val="00D22CBE"/>
    <w:rsid w:val="00D46B22"/>
    <w:rsid w:val="00D50E79"/>
    <w:rsid w:val="00D7402A"/>
    <w:rsid w:val="00D87433"/>
    <w:rsid w:val="00D91254"/>
    <w:rsid w:val="00DA3E6C"/>
    <w:rsid w:val="00DA496A"/>
    <w:rsid w:val="00DC7A42"/>
    <w:rsid w:val="00DF6860"/>
    <w:rsid w:val="00E22389"/>
    <w:rsid w:val="00E73086"/>
    <w:rsid w:val="00E83F71"/>
    <w:rsid w:val="00EA2F69"/>
    <w:rsid w:val="00EC44FD"/>
    <w:rsid w:val="00EC50C9"/>
    <w:rsid w:val="00ED4FDD"/>
    <w:rsid w:val="00ED5E11"/>
    <w:rsid w:val="00ED7E3F"/>
    <w:rsid w:val="00EE1C65"/>
    <w:rsid w:val="00EE473B"/>
    <w:rsid w:val="00EF4140"/>
    <w:rsid w:val="00F038A6"/>
    <w:rsid w:val="00F0612C"/>
    <w:rsid w:val="00F12A67"/>
    <w:rsid w:val="00F321EA"/>
    <w:rsid w:val="00F438C6"/>
    <w:rsid w:val="00F45F94"/>
    <w:rsid w:val="00F65128"/>
    <w:rsid w:val="00F65672"/>
    <w:rsid w:val="00F65F13"/>
    <w:rsid w:val="00F66701"/>
    <w:rsid w:val="00F70566"/>
    <w:rsid w:val="00F73CDF"/>
    <w:rsid w:val="00F76457"/>
    <w:rsid w:val="00F9007C"/>
    <w:rsid w:val="00F9185A"/>
    <w:rsid w:val="00FA03A1"/>
    <w:rsid w:val="00FB0CC6"/>
    <w:rsid w:val="00FB3E52"/>
    <w:rsid w:val="00FE16A7"/>
    <w:rsid w:val="00FE2A5A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14DD1"/>
  <w15:chartTrackingRefBased/>
  <w15:docId w15:val="{A608A5C0-3E12-4EA6-BF05-E53594D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F3"/>
  </w:style>
  <w:style w:type="paragraph" w:styleId="Heading1">
    <w:name w:val="heading 1"/>
    <w:basedOn w:val="Normal"/>
    <w:next w:val="Normal"/>
    <w:link w:val="Heading1Char"/>
    <w:uiPriority w:val="9"/>
    <w:qFormat/>
    <w:rsid w:val="00F6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1D4"/>
    <w:pPr>
      <w:keepNext/>
      <w:spacing w:after="0" w:line="240" w:lineRule="auto"/>
      <w:jc w:val="right"/>
      <w:outlineLvl w:val="1"/>
    </w:pPr>
    <w:rPr>
      <w:b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D69"/>
    <w:pPr>
      <w:keepNext/>
      <w:spacing w:after="0" w:line="240" w:lineRule="auto"/>
      <w:outlineLvl w:val="2"/>
    </w:pPr>
    <w:rPr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F8"/>
  </w:style>
  <w:style w:type="paragraph" w:styleId="Footer">
    <w:name w:val="footer"/>
    <w:basedOn w:val="Normal"/>
    <w:link w:val="FooterChar"/>
    <w:uiPriority w:val="99"/>
    <w:unhideWhenUsed/>
    <w:rsid w:val="00C83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F8"/>
  </w:style>
  <w:style w:type="character" w:customStyle="1" w:styleId="Heading1Char">
    <w:name w:val="Heading 1 Char"/>
    <w:basedOn w:val="DefaultParagraphFont"/>
    <w:link w:val="Heading1"/>
    <w:uiPriority w:val="9"/>
    <w:rsid w:val="00F65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6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699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B256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qFormat/>
    <w:rsid w:val="00320B1F"/>
    <w:rPr>
      <w:b/>
      <w:bCs/>
    </w:rPr>
  </w:style>
  <w:style w:type="paragraph" w:styleId="BodyTextIndent">
    <w:name w:val="Body Text Indent"/>
    <w:basedOn w:val="Normal"/>
    <w:link w:val="BodyTextIndentChar"/>
    <w:rsid w:val="00BB6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6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B71D4"/>
    <w:rPr>
      <w:b/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1D69"/>
    <w:rPr>
      <w:b/>
      <w:color w:val="FFFFFF" w:themeColor="background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7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uiPriority w:val="1"/>
    <w:qFormat/>
    <w:rsid w:val="00C47812"/>
    <w:pPr>
      <w:keepNext/>
      <w:numPr>
        <w:numId w:val="14"/>
      </w:numPr>
      <w:spacing w:after="240" w:line="276" w:lineRule="auto"/>
    </w:pPr>
    <w:rPr>
      <w:rFonts w:eastAsiaTheme="minorEastAsia"/>
      <w:b/>
      <w:bCs/>
      <w:sz w:val="20"/>
      <w:szCs w:val="20"/>
      <w:lang w:val="en-US" w:eastAsia="ja-JP"/>
    </w:rPr>
  </w:style>
  <w:style w:type="paragraph" w:customStyle="1" w:styleId="DotPointLeftAligned">
    <w:name w:val="Dot Point Left Aligned"/>
    <w:basedOn w:val="Normal"/>
    <w:qFormat/>
    <w:rsid w:val="00D03630"/>
    <w:pPr>
      <w:spacing w:after="80" w:line="240" w:lineRule="auto"/>
      <w:ind w:left="357" w:right="-113" w:hanging="357"/>
    </w:pPr>
    <w:rPr>
      <w:rFonts w:ascii="Arial" w:eastAsia="Calibri" w:hAnsi="Arial" w:cs="Arial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E7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38C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60843"/>
    <w:pPr>
      <w:numPr>
        <w:numId w:val="34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34F2A82C5574AB1FE6C292F1BF2C6" ma:contentTypeVersion="12" ma:contentTypeDescription="Create a new document." ma:contentTypeScope="" ma:versionID="7fef60f20b80d25012d5d6be9382710c">
  <xsd:schema xmlns:xsd="http://www.w3.org/2001/XMLSchema" xmlns:xs="http://www.w3.org/2001/XMLSchema" xmlns:p="http://schemas.microsoft.com/office/2006/metadata/properties" xmlns:ns2="8cd6adc7-0bef-459f-993a-20e69bd9f9ee" xmlns:ns3="03f76da4-b5c5-4656-a5e3-6abd4d11bb77" targetNamespace="http://schemas.microsoft.com/office/2006/metadata/properties" ma:root="true" ma:fieldsID="1ba5f4f20ebf0622af66cfe7c866eba1" ns2:_="" ns3:_="">
    <xsd:import namespace="8cd6adc7-0bef-459f-993a-20e69bd9f9ee"/>
    <xsd:import namespace="03f76da4-b5c5-4656-a5e3-6abd4d11b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adc7-0bef-459f-993a-20e69bd9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6da4-b5c5-4656-a5e3-6abd4d11b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C3E4-5AD3-48A6-BE76-ED9094A2E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F716C-86F0-46AC-AE08-475CF05473FE}">
  <ds:schemaRefs>
    <ds:schemaRef ds:uri="03f76da4-b5c5-4656-a5e3-6abd4d11bb77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d6adc7-0bef-459f-993a-20e69bd9f9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E2946-3496-4A70-B7C5-81C1AC253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6adc7-0bef-459f-993a-20e69bd9f9ee"/>
    <ds:schemaRef ds:uri="03f76da4-b5c5-4656-a5e3-6abd4d11b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A2686-6B49-4213-B5A1-9259DDFF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Klain</dc:creator>
  <cp:keywords/>
  <dc:description/>
  <cp:lastModifiedBy>Donna Wood</cp:lastModifiedBy>
  <cp:revision>2</cp:revision>
  <cp:lastPrinted>2020-10-30T03:21:00Z</cp:lastPrinted>
  <dcterms:created xsi:type="dcterms:W3CDTF">2020-11-23T03:35:00Z</dcterms:created>
  <dcterms:modified xsi:type="dcterms:W3CDTF">2020-11-23T03:35:00Z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0x01010091E34F2A82C5574AB1FE6C292F1BF2C6</vt:lpwstr>
  </property>
</Properties>
</file>